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0A" w:rsidRDefault="007E1D0A" w:rsidP="007E1D0A">
      <w:pPr>
        <w:spacing w:line="360" w:lineRule="auto"/>
        <w:rPr>
          <w:rFonts w:ascii="Times New Roman" w:hAnsi="Times New Roman" w:cs="Times New Roman"/>
          <w:b/>
          <w:sz w:val="28"/>
          <w:szCs w:val="28"/>
        </w:rPr>
      </w:pPr>
      <w:r>
        <w:rPr>
          <w:rFonts w:ascii="Times New Roman" w:hAnsi="Times New Roman" w:cs="Times New Roman"/>
          <w:b/>
          <w:sz w:val="28"/>
          <w:szCs w:val="28"/>
        </w:rPr>
        <w:t>Milica Vukotić</w:t>
      </w:r>
    </w:p>
    <w:p w:rsidR="007E1D0A" w:rsidRPr="007E1D0A" w:rsidRDefault="007E1D0A" w:rsidP="007E1D0A">
      <w:pPr>
        <w:spacing w:after="0" w:line="360" w:lineRule="auto"/>
        <w:rPr>
          <w:rFonts w:ascii="Times New Roman" w:hAnsi="Times New Roman" w:cs="Times New Roman"/>
          <w:b/>
          <w:sz w:val="28"/>
          <w:szCs w:val="28"/>
          <w:lang w:val="sr-Latn-CS"/>
        </w:rPr>
      </w:pPr>
    </w:p>
    <w:p w:rsidR="00521E00" w:rsidRPr="009E1EF0" w:rsidRDefault="00521E00" w:rsidP="008F3589">
      <w:pPr>
        <w:spacing w:line="360" w:lineRule="auto"/>
        <w:jc w:val="center"/>
        <w:rPr>
          <w:rFonts w:ascii="Times New Roman" w:hAnsi="Times New Roman" w:cs="Times New Roman"/>
          <w:b/>
          <w:sz w:val="28"/>
          <w:szCs w:val="28"/>
          <w:lang w:val="sl-SI"/>
        </w:rPr>
      </w:pPr>
      <w:r w:rsidRPr="009E1EF0">
        <w:rPr>
          <w:rFonts w:ascii="Times New Roman" w:hAnsi="Times New Roman" w:cs="Times New Roman"/>
          <w:b/>
          <w:sz w:val="28"/>
          <w:szCs w:val="28"/>
        </w:rPr>
        <w:t xml:space="preserve">Održivi razvoj: </w:t>
      </w:r>
      <w:r w:rsidRPr="009E1EF0">
        <w:rPr>
          <w:rFonts w:ascii="Times New Roman" w:hAnsi="Times New Roman" w:cs="Times New Roman"/>
          <w:b/>
          <w:sz w:val="28"/>
          <w:szCs w:val="28"/>
          <w:lang w:val="sl-SI"/>
        </w:rPr>
        <w:t>Zdravstveni sistem i sistem socijalne zaštite</w:t>
      </w:r>
    </w:p>
    <w:p w:rsidR="00521E00" w:rsidRPr="009E1EF0" w:rsidRDefault="00521E00" w:rsidP="008F3589">
      <w:pPr>
        <w:spacing w:line="360" w:lineRule="auto"/>
        <w:jc w:val="both"/>
        <w:rPr>
          <w:rFonts w:ascii="Times New Roman" w:hAnsi="Times New Roman" w:cs="Times New Roman"/>
        </w:rPr>
      </w:pPr>
    </w:p>
    <w:p w:rsidR="00CF6FEB" w:rsidRPr="009E1EF0" w:rsidRDefault="00A80E08" w:rsidP="008F3589">
      <w:pPr>
        <w:spacing w:line="360" w:lineRule="auto"/>
        <w:jc w:val="both"/>
        <w:rPr>
          <w:rFonts w:ascii="Times New Roman" w:hAnsi="Times New Roman" w:cs="Times New Roman"/>
          <w:lang w:val="sl-SI"/>
        </w:rPr>
      </w:pPr>
      <w:r w:rsidRPr="009E1EF0">
        <w:rPr>
          <w:rFonts w:ascii="Times New Roman" w:hAnsi="Times New Roman" w:cs="Times New Roman"/>
        </w:rPr>
        <w:t xml:space="preserve">Kao </w:t>
      </w:r>
      <w:r w:rsidRPr="009E1EF0">
        <w:rPr>
          <w:rFonts w:ascii="Times New Roman" w:hAnsi="Times New Roman" w:cs="Times New Roman"/>
          <w:lang w:val="sl-SI"/>
        </w:rPr>
        <w:t>što je naznačeno u Nacionalnoj strategiji održivog razvoja C</w:t>
      </w:r>
      <w:r w:rsidR="00521E00" w:rsidRPr="009E1EF0">
        <w:rPr>
          <w:rFonts w:ascii="Times New Roman" w:hAnsi="Times New Roman" w:cs="Times New Roman"/>
          <w:lang w:val="sl-SI"/>
        </w:rPr>
        <w:t xml:space="preserve">rne </w:t>
      </w:r>
      <w:r w:rsidRPr="009E1EF0">
        <w:rPr>
          <w:rFonts w:ascii="Times New Roman" w:hAnsi="Times New Roman" w:cs="Times New Roman"/>
          <w:lang w:val="sl-SI"/>
        </w:rPr>
        <w:t>G</w:t>
      </w:r>
      <w:r w:rsidR="00521E00" w:rsidRPr="009E1EF0">
        <w:rPr>
          <w:rFonts w:ascii="Times New Roman" w:hAnsi="Times New Roman" w:cs="Times New Roman"/>
          <w:lang w:val="sl-SI"/>
        </w:rPr>
        <w:t>ore</w:t>
      </w:r>
      <w:r w:rsidRPr="009E1EF0">
        <w:rPr>
          <w:rFonts w:ascii="Times New Roman" w:hAnsi="Times New Roman" w:cs="Times New Roman"/>
          <w:lang w:val="sl-SI"/>
        </w:rPr>
        <w:t xml:space="preserve">, koncept održivog razvoja </w:t>
      </w:r>
      <w:r w:rsidR="009F6B74" w:rsidRPr="009E1EF0">
        <w:rPr>
          <w:rFonts w:ascii="Times New Roman" w:hAnsi="Times New Roman" w:cs="Times New Roman"/>
          <w:lang w:val="sl-SI"/>
        </w:rPr>
        <w:t xml:space="preserve">podrazumijeva balansiranje ekonomskih, socijalnih i ekoloških zahtjeva, kako bi se osiguralo </w:t>
      </w:r>
      <w:r w:rsidR="00495BC3" w:rsidRPr="009E1EF0">
        <w:rPr>
          <w:rFonts w:ascii="Times New Roman" w:hAnsi="Times New Roman" w:cs="Times New Roman"/>
          <w:lang w:val="sl-SI"/>
        </w:rPr>
        <w:t>zadovoljavanje potreba sadašnje generacije, bez ugrožavanja mogućnosti budućih generacija da zadovolje svoje potrebe.</w:t>
      </w:r>
      <w:r w:rsidR="00521E00" w:rsidRPr="009E1EF0">
        <w:rPr>
          <w:rFonts w:ascii="Times New Roman" w:hAnsi="Times New Roman" w:cs="Times New Roman"/>
          <w:lang w:val="sl-SI"/>
        </w:rPr>
        <w:t xml:space="preserve"> </w:t>
      </w:r>
      <w:r w:rsidR="00516239" w:rsidRPr="009E1EF0">
        <w:rPr>
          <w:rFonts w:ascii="Times New Roman" w:hAnsi="Times New Roman" w:cs="Times New Roman"/>
          <w:lang w:val="sl-SI"/>
        </w:rPr>
        <w:t>U svojoj osnovi, koncept održivog razvoja kao jedan od ciljeva ima smanjenje siromaštva i omogućavanje kvalitetnog pristup</w:t>
      </w:r>
      <w:r w:rsidR="0059790E" w:rsidRPr="009E1EF0">
        <w:rPr>
          <w:rFonts w:ascii="Times New Roman" w:hAnsi="Times New Roman" w:cs="Times New Roman"/>
          <w:lang w:val="sl-SI"/>
        </w:rPr>
        <w:t>a neophodnim uslugama svim građanim</w:t>
      </w:r>
      <w:r w:rsidR="00516239" w:rsidRPr="009E1EF0">
        <w:rPr>
          <w:rFonts w:ascii="Times New Roman" w:hAnsi="Times New Roman" w:cs="Times New Roman"/>
          <w:lang w:val="sl-SI"/>
        </w:rPr>
        <w:t xml:space="preserve">a. </w:t>
      </w:r>
      <w:r w:rsidR="00CF6FEB" w:rsidRPr="009E1EF0">
        <w:rPr>
          <w:rFonts w:ascii="Times New Roman" w:hAnsi="Times New Roman" w:cs="Times New Roman"/>
          <w:lang w:val="sl-SI"/>
        </w:rPr>
        <w:t>Stoga, u</w:t>
      </w:r>
      <w:r w:rsidR="00521E00" w:rsidRPr="009E1EF0">
        <w:rPr>
          <w:rFonts w:ascii="Times New Roman" w:hAnsi="Times New Roman" w:cs="Times New Roman"/>
          <w:lang w:val="sl-SI"/>
        </w:rPr>
        <w:t xml:space="preserve"> ovom dijelu bavićemo se analizom zdravstvenog i sistema socijalne zaštite,</w:t>
      </w:r>
      <w:r w:rsidR="00CF6FEB" w:rsidRPr="009E1EF0">
        <w:rPr>
          <w:rFonts w:ascii="Times New Roman" w:hAnsi="Times New Roman" w:cs="Times New Roman"/>
          <w:lang w:val="sl-SI"/>
        </w:rPr>
        <w:t xml:space="preserve"> posmatranih u kontekstu održivog razvoja.</w:t>
      </w:r>
      <w:r w:rsidR="005A532E" w:rsidRPr="009E1EF0">
        <w:rPr>
          <w:rFonts w:ascii="Times New Roman" w:hAnsi="Times New Roman" w:cs="Times New Roman"/>
          <w:lang w:val="sl-SI"/>
        </w:rPr>
        <w:t xml:space="preserve"> </w:t>
      </w:r>
    </w:p>
    <w:p w:rsidR="00205306" w:rsidRPr="009E1EF0" w:rsidRDefault="00205306" w:rsidP="008F3589">
      <w:pPr>
        <w:spacing w:line="360" w:lineRule="auto"/>
        <w:jc w:val="both"/>
        <w:rPr>
          <w:rFonts w:ascii="Times New Roman" w:hAnsi="Times New Roman" w:cs="Times New Roman"/>
          <w:lang w:val="sl-SI"/>
        </w:rPr>
      </w:pPr>
    </w:p>
    <w:p w:rsidR="00BF3D3A" w:rsidRPr="009E1EF0" w:rsidRDefault="00521E00" w:rsidP="008F3589">
      <w:pPr>
        <w:spacing w:line="360" w:lineRule="auto"/>
        <w:jc w:val="both"/>
        <w:rPr>
          <w:rFonts w:ascii="Times New Roman" w:hAnsi="Times New Roman" w:cs="Times New Roman"/>
          <w:b/>
          <w:lang w:val="sl-SI"/>
        </w:rPr>
      </w:pPr>
      <w:r w:rsidRPr="009E1EF0">
        <w:rPr>
          <w:rFonts w:ascii="Times New Roman" w:hAnsi="Times New Roman" w:cs="Times New Roman"/>
          <w:lang w:val="sl-SI"/>
        </w:rPr>
        <w:t xml:space="preserve"> </w:t>
      </w:r>
      <w:r w:rsidR="00CF6FEB" w:rsidRPr="009E1EF0">
        <w:rPr>
          <w:rFonts w:ascii="Times New Roman" w:hAnsi="Times New Roman" w:cs="Times New Roman"/>
          <w:b/>
          <w:lang w:val="sl-SI"/>
        </w:rPr>
        <w:t>Zdravstveni sistem Crne Gore</w:t>
      </w:r>
    </w:p>
    <w:p w:rsidR="00AF072D" w:rsidRPr="009E1EF0" w:rsidRDefault="00AF072D" w:rsidP="008F3589">
      <w:pPr>
        <w:spacing w:line="360" w:lineRule="auto"/>
        <w:jc w:val="both"/>
        <w:rPr>
          <w:rFonts w:ascii="Times New Roman" w:hAnsi="Times New Roman" w:cs="Times New Roman"/>
          <w:lang w:val="sl-SI"/>
        </w:rPr>
      </w:pPr>
      <w:r w:rsidRPr="009E1EF0">
        <w:rPr>
          <w:rFonts w:ascii="Times New Roman" w:hAnsi="Times New Roman" w:cs="Times New Roman"/>
          <w:lang w:val="sl-SI"/>
        </w:rPr>
        <w:t>Zdravstvena zaštita predstavlja skup usluga, proizvoda, institucija, regulacija i ljudi. Iako oblast zdravstva ima mnogo zajedničkih karakteristika sa drugim oblastima ekonomije, skup nesvakidašnjih ekonomskih karakteristika koji postoji na tržištu zdravlja je prilično veliki. Neke od ovih karakteristika su:</w:t>
      </w:r>
    </w:p>
    <w:p w:rsidR="00AF072D" w:rsidRPr="009E1EF0" w:rsidRDefault="00AF072D" w:rsidP="008F3589">
      <w:pPr>
        <w:spacing w:line="360" w:lineRule="auto"/>
        <w:jc w:val="both"/>
        <w:rPr>
          <w:rFonts w:ascii="Times New Roman" w:hAnsi="Times New Roman" w:cs="Times New Roman"/>
          <w:lang w:val="sl-SI"/>
        </w:rPr>
      </w:pPr>
    </w:p>
    <w:p w:rsidR="00AF072D" w:rsidRPr="009E1EF0" w:rsidRDefault="00AF072D" w:rsidP="008F3589">
      <w:pPr>
        <w:numPr>
          <w:ilvl w:val="0"/>
          <w:numId w:val="1"/>
        </w:numPr>
        <w:spacing w:after="0" w:line="360" w:lineRule="auto"/>
        <w:jc w:val="both"/>
        <w:rPr>
          <w:rFonts w:ascii="Times New Roman" w:hAnsi="Times New Roman" w:cs="Times New Roman"/>
          <w:lang w:val="sl-SI"/>
        </w:rPr>
      </w:pPr>
      <w:r w:rsidRPr="009E1EF0">
        <w:rPr>
          <w:rFonts w:ascii="Times New Roman" w:hAnsi="Times New Roman" w:cs="Times New Roman"/>
          <w:lang w:val="sl-SI"/>
        </w:rPr>
        <w:t>stepen uključenosti vlade;</w:t>
      </w:r>
    </w:p>
    <w:p w:rsidR="00AF072D" w:rsidRPr="009E1EF0" w:rsidRDefault="00AF072D" w:rsidP="008F3589">
      <w:pPr>
        <w:numPr>
          <w:ilvl w:val="0"/>
          <w:numId w:val="1"/>
        </w:numPr>
        <w:spacing w:after="0" w:line="360" w:lineRule="auto"/>
        <w:jc w:val="both"/>
        <w:rPr>
          <w:rFonts w:ascii="Times New Roman" w:hAnsi="Times New Roman" w:cs="Times New Roman"/>
          <w:lang w:val="sl-SI"/>
        </w:rPr>
      </w:pPr>
      <w:r w:rsidRPr="009E1EF0">
        <w:rPr>
          <w:rFonts w:ascii="Times New Roman" w:hAnsi="Times New Roman" w:cs="Times New Roman"/>
          <w:lang w:val="sl-SI"/>
        </w:rPr>
        <w:t>dominantno prisustvo neizvjesnosti na svim nivoima zdravstvene zaštite, polazeći od slučajnosti individualnih bolesti do razumijevanja koliko dobro medicinski tretman funkcioniše i za koga;</w:t>
      </w:r>
    </w:p>
    <w:p w:rsidR="00AF072D" w:rsidRPr="009E1EF0" w:rsidRDefault="00AF072D" w:rsidP="008F3589">
      <w:pPr>
        <w:numPr>
          <w:ilvl w:val="0"/>
          <w:numId w:val="1"/>
        </w:numPr>
        <w:spacing w:after="0" w:line="360" w:lineRule="auto"/>
        <w:jc w:val="both"/>
        <w:rPr>
          <w:rFonts w:ascii="Times New Roman" w:hAnsi="Times New Roman" w:cs="Times New Roman"/>
          <w:lang w:val="sl-SI"/>
        </w:rPr>
      </w:pPr>
      <w:r w:rsidRPr="009E1EF0">
        <w:rPr>
          <w:rFonts w:ascii="Times New Roman" w:hAnsi="Times New Roman" w:cs="Times New Roman"/>
          <w:lang w:val="sl-SI"/>
        </w:rPr>
        <w:t>asimetrične informacije: velika razlika u znanju između doktora (i drugih pružalaca usluga) i njihovih pacijenata, korisnika medicinskih usluga. Ova asimetrija dovodi do problema moralnog hazarda.</w:t>
      </w:r>
    </w:p>
    <w:p w:rsidR="00AF072D" w:rsidRPr="009E1EF0" w:rsidRDefault="00AF072D" w:rsidP="008F3589">
      <w:pPr>
        <w:numPr>
          <w:ilvl w:val="0"/>
          <w:numId w:val="1"/>
        </w:numPr>
        <w:spacing w:after="0" w:line="360" w:lineRule="auto"/>
        <w:jc w:val="both"/>
        <w:rPr>
          <w:rFonts w:ascii="Times New Roman" w:hAnsi="Times New Roman" w:cs="Times New Roman"/>
          <w:lang w:val="sl-SI"/>
        </w:rPr>
      </w:pPr>
      <w:r w:rsidRPr="009E1EF0">
        <w:rPr>
          <w:rFonts w:ascii="Times New Roman" w:hAnsi="Times New Roman" w:cs="Times New Roman"/>
          <w:lang w:val="sl-SI"/>
        </w:rPr>
        <w:t>eksternalije- ponašanje pojedinaca  koje stvara troškove ili koristi drugima.</w:t>
      </w:r>
    </w:p>
    <w:p w:rsidR="00AF072D" w:rsidRPr="009E1EF0" w:rsidRDefault="00AF072D" w:rsidP="008F3589">
      <w:pPr>
        <w:spacing w:line="360" w:lineRule="auto"/>
        <w:jc w:val="both"/>
        <w:rPr>
          <w:rFonts w:ascii="Times New Roman" w:hAnsi="Times New Roman" w:cs="Times New Roman"/>
          <w:lang w:val="sl-SI"/>
        </w:rPr>
      </w:pPr>
    </w:p>
    <w:p w:rsidR="00AF072D" w:rsidRPr="009E1EF0" w:rsidRDefault="00AF072D" w:rsidP="008F3589">
      <w:pPr>
        <w:pStyle w:val="BodyText"/>
        <w:spacing w:line="360" w:lineRule="auto"/>
        <w:rPr>
          <w:rFonts w:ascii="Times New Roman" w:hAnsi="Times New Roman"/>
          <w:lang w:val="sl-SI"/>
        </w:rPr>
      </w:pPr>
      <w:r w:rsidRPr="009E1EF0">
        <w:rPr>
          <w:rFonts w:ascii="Times New Roman" w:hAnsi="Times New Roman"/>
          <w:lang w:val="sl-SI"/>
        </w:rPr>
        <w:t xml:space="preserve">Svaka od ovih karakteristika je prisutna i u nekoj drugoj oblasti ekonomije, ali rijetko gdje,  toliko puno kao u zdravstvu, i nigdje u ovako širokoj kombinaciji. Neizvjesnost postoji svuda. Neizvjesni događaji uređuju ponašanje pojedinaca i na tržištu zdravlja. Prisustvo neizvjesnosti </w:t>
      </w:r>
      <w:r w:rsidRPr="009E1EF0">
        <w:rPr>
          <w:rFonts w:ascii="Times New Roman" w:hAnsi="Times New Roman"/>
          <w:lang w:val="sl-SI"/>
        </w:rPr>
        <w:lastRenderedPageBreak/>
        <w:t>dovodi do razvoja zdravstvenog osiguranja, koje, ustvari, kontroliše i usmjerava upotrebu resursa u privredi. Prisustvo različitih oblika neizvjesnosti, u velikom dijelu je odgovorno za veliku uključenost vlade u ovoj oblasti.</w:t>
      </w:r>
    </w:p>
    <w:p w:rsidR="00205306" w:rsidRPr="009E1EF0" w:rsidRDefault="00205306" w:rsidP="008F3589">
      <w:pPr>
        <w:pStyle w:val="Footer"/>
        <w:tabs>
          <w:tab w:val="clear" w:pos="4320"/>
          <w:tab w:val="clear" w:pos="8640"/>
        </w:tabs>
        <w:spacing w:line="360" w:lineRule="auto"/>
        <w:jc w:val="both"/>
        <w:rPr>
          <w:bCs/>
          <w:lang w:val="sl-SI"/>
        </w:rPr>
      </w:pPr>
      <w:r w:rsidRPr="009E1EF0">
        <w:rPr>
          <w:bCs/>
          <w:lang w:val="sl-SI"/>
        </w:rPr>
        <w:t xml:space="preserve">Da bismo ocijenili stanje na tržištu zdravstva jedne zemlje, moramo posmatrati, na jednoj strani, pojedince i njihovo zdravstveno stanje, a na drugoj strani performanse zdravstveng sistema. Zdravstveno stanje pojedinca može biti mjereno na više načina, uključujući njegovo ukupno blagostanje, zdravstvene uslove, sposobnost obavljanja radnji. Pored ovih zdravstvenih karakteristika, ne smiju se zanemariti ne-medicinski faktori zdravlja, među kojima se ističu ponašanje pojedinca, uslovi života i rada, lični resursi i faktori životne okoline. </w:t>
      </w:r>
    </w:p>
    <w:p w:rsidR="00205306" w:rsidRPr="009E1EF0" w:rsidRDefault="00205306" w:rsidP="008F3589">
      <w:pPr>
        <w:pStyle w:val="Footer"/>
        <w:tabs>
          <w:tab w:val="clear" w:pos="4320"/>
          <w:tab w:val="clear" w:pos="8640"/>
        </w:tabs>
        <w:spacing w:line="360" w:lineRule="auto"/>
        <w:jc w:val="both"/>
        <w:rPr>
          <w:bCs/>
          <w:lang w:val="sl-SI"/>
        </w:rPr>
      </w:pPr>
    </w:p>
    <w:p w:rsidR="00205306" w:rsidRPr="009E1EF0" w:rsidRDefault="00205306" w:rsidP="008F3589">
      <w:pPr>
        <w:pStyle w:val="Footer"/>
        <w:tabs>
          <w:tab w:val="clear" w:pos="4320"/>
          <w:tab w:val="clear" w:pos="8640"/>
        </w:tabs>
        <w:spacing w:line="360" w:lineRule="auto"/>
        <w:jc w:val="both"/>
        <w:rPr>
          <w:bCs/>
          <w:lang w:val="sl-SI"/>
        </w:rPr>
      </w:pPr>
      <w:r w:rsidRPr="009E1EF0">
        <w:rPr>
          <w:bCs/>
          <w:lang w:val="sl-SI"/>
        </w:rPr>
        <w:t>Kada ocjenjujemo performanse zdravstvenog sistema, onda posmatramo dostupnost, prihvatljivost, kontinuiranost, efikasnost, održivost i sigurnost zdravstvene zaštite.</w:t>
      </w:r>
    </w:p>
    <w:p w:rsidR="00B273DF" w:rsidRPr="009E1EF0" w:rsidRDefault="00B273DF" w:rsidP="008F3589">
      <w:pPr>
        <w:pStyle w:val="Footer"/>
        <w:tabs>
          <w:tab w:val="clear" w:pos="4320"/>
          <w:tab w:val="clear" w:pos="8640"/>
        </w:tabs>
        <w:spacing w:line="360" w:lineRule="auto"/>
        <w:jc w:val="both"/>
        <w:rPr>
          <w:bCs/>
          <w:lang w:val="sl-SI"/>
        </w:rPr>
      </w:pPr>
    </w:p>
    <w:p w:rsidR="00B273DF" w:rsidRPr="009E1EF0" w:rsidRDefault="00B273DF" w:rsidP="008F3589">
      <w:pPr>
        <w:pStyle w:val="BodyText"/>
        <w:spacing w:line="360" w:lineRule="auto"/>
        <w:rPr>
          <w:rFonts w:ascii="Times New Roman" w:hAnsi="Times New Roman"/>
          <w:lang w:val="sl-SI"/>
        </w:rPr>
      </w:pPr>
      <w:r w:rsidRPr="009E1EF0">
        <w:rPr>
          <w:rFonts w:ascii="Times New Roman" w:hAnsi="Times New Roman"/>
          <w:bCs/>
          <w:lang w:val="sl-SI"/>
        </w:rPr>
        <w:t xml:space="preserve">Ono što će donekle biti novina jeste što ćemo u ovom projektu zdravlje posmatrati kao ekonomsko dobro. </w:t>
      </w:r>
      <w:r w:rsidRPr="009E1EF0">
        <w:rPr>
          <w:rFonts w:ascii="Times New Roman" w:hAnsi="Times New Roman"/>
          <w:lang w:val="sl-SI"/>
        </w:rPr>
        <w:t>Prvo pitanje koje nam “pada na pamet” kada razmišljamo o zdravlju iz ekonomske perspektive je da li je zdravlje ekonomsko dobro ili ne. Može li iko reći da je operacija ili primanje nedjeljne vakcine protiv alergije “dobro” u tradicionalnom smislu? Mislimo da ne možemo o ovim ili o bilo kojim drugim uslugama koje pruža zdravstvena zaštita razmišljati kao o dobrima u tradicionalnom smislu: ona bole, ona izazivaju neprijatnost, ona imaju nepoželjne efekte. Međutim, mi bismo trebali da razmišljamo o njima sa stanovišta povećanja korisnosti. Prema tradicionalnom ekonomskom shvatanju, dobro povećava nečiju korisnost, i uz budžetsko ograničenje, svaki pojedinac će težiti da maksimizira svoju korisnost. Dakle, možemo posmatrati zdravlje kao ekonomsko dobro s obzirom da čini pojedinca srećnim (zadovoljstvo pojedinca) i povećava korisnost. Dalje, možemo ga posmatrati kao trajno dobro. Svaki pojedinac se rodi sa nekim svojim “fondom” zdravlja. Nedonošče ili novorođenče sa srčanom manom, ili slijepo, imaju veoma mali inicijalni fond zdravlja. Skoro svaka akcija koju dalje preduzmemo u našim životima, utiče na ovaj fond. Zato, kada analiziramo zdravstveni sektor, osim institucijama sistema, nephodno je posvetiti pažnju i ponašanju pojedinaca.</w:t>
      </w:r>
    </w:p>
    <w:p w:rsidR="00B273DF" w:rsidRPr="009E1EF0" w:rsidRDefault="00B273DF" w:rsidP="008F3589">
      <w:pPr>
        <w:pStyle w:val="Footer"/>
        <w:tabs>
          <w:tab w:val="clear" w:pos="4320"/>
          <w:tab w:val="clear" w:pos="8640"/>
        </w:tabs>
        <w:spacing w:line="360" w:lineRule="auto"/>
        <w:jc w:val="both"/>
        <w:rPr>
          <w:bCs/>
          <w:lang w:val="sl-SI"/>
        </w:rPr>
      </w:pPr>
    </w:p>
    <w:p w:rsidR="009E1EF0" w:rsidRPr="009E1EF0" w:rsidRDefault="009E1EF0" w:rsidP="008F3589">
      <w:pPr>
        <w:pStyle w:val="Footer"/>
        <w:tabs>
          <w:tab w:val="clear" w:pos="4320"/>
          <w:tab w:val="clear" w:pos="8640"/>
        </w:tabs>
        <w:spacing w:line="360" w:lineRule="auto"/>
        <w:jc w:val="both"/>
        <w:rPr>
          <w:bCs/>
          <w:lang w:val="sl-SI"/>
        </w:rPr>
      </w:pPr>
      <w:r w:rsidRPr="009E1EF0">
        <w:rPr>
          <w:bCs/>
          <w:lang w:val="sl-SI"/>
        </w:rPr>
        <w:t>Naredni grafik slikovito prikazuje organizaciju zdravstvenog sistema, i pitanja koja će biti obrađena.</w:t>
      </w:r>
    </w:p>
    <w:p w:rsidR="009E1EF0" w:rsidRPr="009E1EF0" w:rsidRDefault="009E1EF0" w:rsidP="008F3589">
      <w:pPr>
        <w:pStyle w:val="Footer"/>
        <w:tabs>
          <w:tab w:val="clear" w:pos="4320"/>
          <w:tab w:val="clear" w:pos="8640"/>
        </w:tabs>
        <w:spacing w:line="360" w:lineRule="auto"/>
        <w:jc w:val="both"/>
        <w:rPr>
          <w:bCs/>
          <w:lang w:val="sl-SI"/>
        </w:rPr>
      </w:pPr>
    </w:p>
    <w:p w:rsidR="009E1EF0" w:rsidRPr="009E1EF0" w:rsidRDefault="009E1EF0" w:rsidP="008F3589">
      <w:pPr>
        <w:spacing w:line="360" w:lineRule="auto"/>
        <w:jc w:val="both"/>
        <w:rPr>
          <w:rFonts w:ascii="Times New Roman" w:hAnsi="Times New Roman" w:cs="Times New Roman"/>
          <w:bCs/>
          <w:lang w:val="sl-SI"/>
        </w:rPr>
      </w:pPr>
    </w:p>
    <w:p w:rsidR="009E1EF0" w:rsidRPr="009E1EF0" w:rsidRDefault="006538B8" w:rsidP="008F3589">
      <w:pPr>
        <w:pStyle w:val="Heading6"/>
        <w:jc w:val="center"/>
        <w:rPr>
          <w:bCs/>
          <w:lang w:val="sl-SI"/>
        </w:rPr>
      </w:pPr>
      <w:bookmarkStart w:id="0" w:name="_Toc205107661"/>
      <w:r>
        <w:t xml:space="preserve">Grafik </w:t>
      </w:r>
      <w:r w:rsidR="009E1EF0" w:rsidRPr="009E1EF0">
        <w:t>: Sistemska analiza zdravstvene zaštite</w:t>
      </w:r>
      <w:bookmarkEnd w:id="0"/>
    </w:p>
    <w:p w:rsidR="009E1EF0" w:rsidRPr="009E1EF0" w:rsidRDefault="009E1EF0" w:rsidP="008F3589">
      <w:pPr>
        <w:spacing w:line="360" w:lineRule="auto"/>
        <w:jc w:val="center"/>
        <w:rPr>
          <w:rFonts w:ascii="Times New Roman" w:hAnsi="Times New Roman" w:cs="Times New Roman"/>
          <w:bCs/>
          <w:lang w:val="sl-SI"/>
        </w:rPr>
      </w:pPr>
      <w:r w:rsidRPr="009E1EF0">
        <w:rPr>
          <w:rFonts w:ascii="Times New Roman" w:hAnsi="Times New Roman" w:cs="Times New Roman"/>
          <w:lang w:val="sl-SI"/>
        </w:rPr>
        <w:object w:dxaOrig="9938" w:dyaOrig="137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405.75pt" o:ole="">
            <v:imagedata r:id="rId7" o:title=""/>
          </v:shape>
          <o:OLEObject Type="Embed" ProgID="Visio.Drawing.11" ShapeID="_x0000_i1025" DrawAspect="Content" ObjectID="_1313478856" r:id="rId8"/>
        </w:object>
      </w:r>
    </w:p>
    <w:p w:rsidR="006538B8" w:rsidRDefault="006538B8" w:rsidP="008F3589">
      <w:pPr>
        <w:spacing w:line="360" w:lineRule="auto"/>
        <w:jc w:val="both"/>
        <w:rPr>
          <w:rFonts w:ascii="Times New Roman" w:hAnsi="Times New Roman" w:cs="Times New Roman"/>
          <w:bCs/>
          <w:lang w:val="sl-SI"/>
        </w:rPr>
      </w:pPr>
    </w:p>
    <w:p w:rsidR="009E1EF0" w:rsidRPr="0036741F" w:rsidRDefault="009E1EF0" w:rsidP="008F3589">
      <w:pPr>
        <w:spacing w:line="360" w:lineRule="auto"/>
        <w:jc w:val="both"/>
        <w:rPr>
          <w:rFonts w:ascii="Times New Roman" w:hAnsi="Times New Roman" w:cs="Times New Roman"/>
          <w:bCs/>
          <w:sz w:val="24"/>
          <w:szCs w:val="24"/>
          <w:lang w:val="sl-SI"/>
        </w:rPr>
      </w:pPr>
      <w:r w:rsidRPr="0036741F">
        <w:rPr>
          <w:rFonts w:ascii="Times New Roman" w:hAnsi="Times New Roman" w:cs="Times New Roman"/>
          <w:bCs/>
          <w:sz w:val="24"/>
          <w:szCs w:val="24"/>
          <w:lang w:val="sl-SI"/>
        </w:rPr>
        <w:t xml:space="preserve">Dijagram počinje s pojedincem i njegovim ciljevima, među kojima je i cilj da živi zdravo što duže je moguće a da istovremeno troši što je moguće više. Kako će se ponašati pojedinac u pogledu svog zdravlja, zavisi od mnogih faktora, koji će </w:t>
      </w:r>
      <w:r w:rsidR="006538B8" w:rsidRPr="0036741F">
        <w:rPr>
          <w:rFonts w:ascii="Times New Roman" w:hAnsi="Times New Roman" w:cs="Times New Roman"/>
          <w:bCs/>
          <w:sz w:val="24"/>
          <w:szCs w:val="24"/>
          <w:lang w:val="sl-SI"/>
        </w:rPr>
        <w:t>biti analizirani.</w:t>
      </w:r>
    </w:p>
    <w:p w:rsidR="009E1EF0" w:rsidRPr="0036741F" w:rsidRDefault="009E1EF0" w:rsidP="008F3589">
      <w:pPr>
        <w:spacing w:line="360" w:lineRule="auto"/>
        <w:jc w:val="both"/>
        <w:rPr>
          <w:rFonts w:ascii="Times New Roman" w:hAnsi="Times New Roman" w:cs="Times New Roman"/>
          <w:bCs/>
          <w:sz w:val="24"/>
          <w:szCs w:val="24"/>
          <w:lang w:val="sl-SI"/>
        </w:rPr>
      </w:pPr>
      <w:r w:rsidRPr="0036741F">
        <w:rPr>
          <w:rFonts w:ascii="Times New Roman" w:hAnsi="Times New Roman" w:cs="Times New Roman"/>
          <w:bCs/>
          <w:sz w:val="24"/>
          <w:szCs w:val="24"/>
          <w:lang w:val="sl-SI"/>
        </w:rPr>
        <w:t>Međutim, zdravstveno stanje nije u potpunosti pod kontrolom pojedinca. Mjera u kojoj ponašanje pojedinca utiče na njegove izdatke za zdravstenu zaštitu umnogome zavisi od ljekara. On, lociran odma</w:t>
      </w:r>
      <w:r w:rsidR="006538B8" w:rsidRPr="0036741F">
        <w:rPr>
          <w:rFonts w:ascii="Times New Roman" w:hAnsi="Times New Roman" w:cs="Times New Roman"/>
          <w:bCs/>
          <w:sz w:val="24"/>
          <w:szCs w:val="24"/>
          <w:lang w:val="sl-SI"/>
        </w:rPr>
        <w:t>h ispod pojedinca na grafiku 1</w:t>
      </w:r>
      <w:r w:rsidRPr="0036741F">
        <w:rPr>
          <w:rFonts w:ascii="Times New Roman" w:hAnsi="Times New Roman" w:cs="Times New Roman"/>
          <w:bCs/>
          <w:sz w:val="24"/>
          <w:szCs w:val="24"/>
          <w:lang w:val="sl-SI"/>
        </w:rPr>
        <w:t xml:space="preserve">, igra ulogu »čuvara kapije« na ulazu u svijet </w:t>
      </w:r>
      <w:r w:rsidRPr="0036741F">
        <w:rPr>
          <w:rFonts w:ascii="Times New Roman" w:hAnsi="Times New Roman" w:cs="Times New Roman"/>
          <w:bCs/>
          <w:sz w:val="24"/>
          <w:szCs w:val="24"/>
          <w:lang w:val="sl-SI"/>
        </w:rPr>
        <w:lastRenderedPageBreak/>
        <w:t>zdravstvene zaštite. Njegov izbor o liječenju u ili van bolnice ima značajan uticaj na troškove koji će nastati. Takođe, kasnije u radu će biti diskutovano da li nekada ljekari prepisuju terapiju kako bi više zaradili, iako je to u protivnosti načelima tradicionalne medicine.</w:t>
      </w:r>
    </w:p>
    <w:p w:rsidR="009E1EF0" w:rsidRPr="0036741F" w:rsidRDefault="009E1EF0" w:rsidP="008F3589">
      <w:pPr>
        <w:spacing w:line="360" w:lineRule="auto"/>
        <w:jc w:val="both"/>
        <w:rPr>
          <w:rFonts w:ascii="Times New Roman" w:hAnsi="Times New Roman" w:cs="Times New Roman"/>
          <w:bCs/>
          <w:sz w:val="24"/>
          <w:szCs w:val="24"/>
          <w:lang w:val="sl-SI"/>
        </w:rPr>
      </w:pPr>
      <w:r w:rsidRPr="0036741F">
        <w:rPr>
          <w:rFonts w:ascii="Times New Roman" w:hAnsi="Times New Roman" w:cs="Times New Roman"/>
          <w:bCs/>
          <w:sz w:val="24"/>
          <w:szCs w:val="24"/>
          <w:lang w:val="sl-SI"/>
        </w:rPr>
        <w:t>Konačno, ljekari i bolnice u velikoj mjeri određuju tražnju pacijenata za l</w:t>
      </w:r>
      <w:r w:rsidR="006538B8" w:rsidRPr="0036741F">
        <w:rPr>
          <w:rFonts w:ascii="Times New Roman" w:hAnsi="Times New Roman" w:cs="Times New Roman"/>
          <w:bCs/>
          <w:sz w:val="24"/>
          <w:szCs w:val="24"/>
          <w:lang w:val="sl-SI"/>
        </w:rPr>
        <w:t>jekovima. Krugovi na grafiku 1</w:t>
      </w:r>
      <w:r w:rsidRPr="0036741F">
        <w:rPr>
          <w:rFonts w:ascii="Times New Roman" w:hAnsi="Times New Roman" w:cs="Times New Roman"/>
          <w:bCs/>
          <w:sz w:val="24"/>
          <w:szCs w:val="24"/>
          <w:lang w:val="sl-SI"/>
        </w:rPr>
        <w:t xml:space="preserve">, označavaju inpute koje stvara zdravstvena zaštita. Ako postoji namjera da se pojedinci angažuju tako da zamijene vrijeme ljekara, i usluge bolnice svojim sopstvenim vremenom, a kako bi poboljšali svoje zdravlje, to može trajati do određenog nivoa, a nakon toga oni jednostavno nemaju dovoljno znanja, pa ne može pomoći ni njihova spremnost da ulože svoje sopstveno vrijeme. </w:t>
      </w:r>
    </w:p>
    <w:p w:rsidR="00205306" w:rsidRPr="009E1EF0" w:rsidRDefault="00205306" w:rsidP="008F3589">
      <w:pPr>
        <w:pStyle w:val="Footer"/>
        <w:tabs>
          <w:tab w:val="clear" w:pos="4320"/>
          <w:tab w:val="clear" w:pos="8640"/>
        </w:tabs>
        <w:spacing w:line="360" w:lineRule="auto"/>
        <w:jc w:val="both"/>
        <w:rPr>
          <w:bCs/>
          <w:lang w:val="sl-SI"/>
        </w:rPr>
      </w:pPr>
    </w:p>
    <w:p w:rsidR="00205306" w:rsidRPr="009E1EF0" w:rsidRDefault="00205306" w:rsidP="008F3589">
      <w:pPr>
        <w:pStyle w:val="Heading2"/>
        <w:spacing w:line="360" w:lineRule="auto"/>
        <w:rPr>
          <w:noProof/>
          <w:color w:val="000000"/>
          <w:sz w:val="26"/>
          <w:u w:val="none"/>
          <w:lang w:val="sl-SI"/>
        </w:rPr>
      </w:pPr>
      <w:bookmarkStart w:id="1" w:name="_Toc161032610"/>
      <w:bookmarkStart w:id="2" w:name="_Toc161032727"/>
      <w:bookmarkStart w:id="3" w:name="_Toc205107613"/>
      <w:r w:rsidRPr="009E1EF0">
        <w:rPr>
          <w:noProof/>
          <w:color w:val="000000"/>
          <w:sz w:val="26"/>
          <w:u w:val="none"/>
          <w:lang w:val="sl-SI"/>
        </w:rPr>
        <w:t>Pregled stanja u zdravstvenom sektoru</w:t>
      </w:r>
      <w:bookmarkEnd w:id="1"/>
      <w:bookmarkEnd w:id="2"/>
      <w:bookmarkEnd w:id="3"/>
    </w:p>
    <w:p w:rsidR="00205306" w:rsidRPr="009E1EF0" w:rsidRDefault="00205306" w:rsidP="008F3589">
      <w:pPr>
        <w:spacing w:line="360" w:lineRule="auto"/>
        <w:jc w:val="both"/>
        <w:rPr>
          <w:rFonts w:ascii="Times New Roman" w:hAnsi="Times New Roman" w:cs="Times New Roman"/>
          <w:b/>
          <w:bCs/>
          <w:noProof/>
          <w:color w:val="000000"/>
          <w:lang w:val="sl-SI"/>
        </w:rPr>
      </w:pPr>
    </w:p>
    <w:p w:rsidR="00205306" w:rsidRPr="0036741F" w:rsidRDefault="00205306" w:rsidP="008F3589">
      <w:pPr>
        <w:tabs>
          <w:tab w:val="num" w:pos="720"/>
        </w:tabs>
        <w:spacing w:line="360" w:lineRule="auto"/>
        <w:jc w:val="both"/>
        <w:rPr>
          <w:rFonts w:ascii="Times New Roman" w:hAnsi="Times New Roman" w:cs="Times New Roman"/>
          <w:noProof/>
          <w:sz w:val="24"/>
          <w:szCs w:val="24"/>
          <w:lang w:val="sl-SI"/>
        </w:rPr>
      </w:pPr>
      <w:r w:rsidRPr="0036741F">
        <w:rPr>
          <w:rFonts w:ascii="Times New Roman" w:hAnsi="Times New Roman" w:cs="Times New Roman"/>
          <w:noProof/>
          <w:sz w:val="24"/>
          <w:szCs w:val="24"/>
          <w:lang w:val="sl-SI"/>
        </w:rPr>
        <w:t>Zdravstveni sistem Crne Gore predstavlja dio zdravstvenog sistema bivše SFRJ sa naslijeđenim karakteristikama neracionalne i neefikasne organizacije, uz promociju dostupnosti svih prava iz zdravstvene zaštite</w:t>
      </w:r>
      <w:r w:rsidRPr="0036741F">
        <w:rPr>
          <w:rStyle w:val="FootnoteReference"/>
          <w:rFonts w:ascii="Times New Roman" w:hAnsi="Times New Roman" w:cs="Times New Roman"/>
          <w:noProof/>
          <w:sz w:val="24"/>
          <w:szCs w:val="24"/>
          <w:lang w:val="sl-SI"/>
        </w:rPr>
        <w:footnoteReference w:id="1"/>
      </w:r>
      <w:r w:rsidRPr="0036741F">
        <w:rPr>
          <w:rFonts w:ascii="Times New Roman" w:hAnsi="Times New Roman" w:cs="Times New Roman"/>
          <w:noProof/>
          <w:sz w:val="24"/>
          <w:szCs w:val="24"/>
          <w:lang w:val="sl-SI"/>
        </w:rPr>
        <w:t>. Time je stvorena slika da građani imaju pravo na bilo koju od zdravstvenih usluga bez obzira na stvarnu potrebu. Pri tom, nije razvijena svijest građana o tome da svaka zdravstvena usluga ima svoju cijenu i da zdravstvo nije besplatno.</w:t>
      </w:r>
    </w:p>
    <w:p w:rsidR="00205306" w:rsidRPr="0036741F" w:rsidRDefault="00205306" w:rsidP="008F3589">
      <w:pPr>
        <w:tabs>
          <w:tab w:val="num" w:pos="720"/>
        </w:tabs>
        <w:spacing w:line="360" w:lineRule="auto"/>
        <w:jc w:val="both"/>
        <w:rPr>
          <w:rFonts w:ascii="Times New Roman" w:hAnsi="Times New Roman" w:cs="Times New Roman"/>
          <w:noProof/>
          <w:sz w:val="24"/>
          <w:szCs w:val="24"/>
          <w:lang w:val="sl-SI"/>
        </w:rPr>
      </w:pPr>
      <w:r w:rsidRPr="0036741F">
        <w:rPr>
          <w:rFonts w:ascii="Times New Roman" w:hAnsi="Times New Roman" w:cs="Times New Roman"/>
          <w:noProof/>
          <w:sz w:val="24"/>
          <w:szCs w:val="24"/>
          <w:lang w:val="sl-SI"/>
        </w:rPr>
        <w:t>Crna Gora je otpočela opsežnu reformu zdravstvenog sistema, uz kreditnu podršku i tehničku pomoć Svjetske banke. Reforma sistema zdravstvene zaštite i zdravstvenog osiguranja zadire u sve segmente i ima krupne implikacije na dešavanja u ostalim segmentima društva.</w:t>
      </w:r>
    </w:p>
    <w:p w:rsidR="00205306" w:rsidRPr="0036741F" w:rsidRDefault="00205306" w:rsidP="008F3589">
      <w:pPr>
        <w:spacing w:line="360" w:lineRule="auto"/>
        <w:jc w:val="both"/>
        <w:rPr>
          <w:rFonts w:ascii="Times New Roman" w:hAnsi="Times New Roman" w:cs="Times New Roman"/>
          <w:noProof/>
          <w:sz w:val="24"/>
          <w:szCs w:val="24"/>
          <w:lang w:val="sl-SI"/>
        </w:rPr>
      </w:pPr>
      <w:r w:rsidRPr="0036741F">
        <w:rPr>
          <w:rFonts w:ascii="Times New Roman" w:hAnsi="Times New Roman" w:cs="Times New Roman"/>
          <w:noProof/>
          <w:sz w:val="24"/>
          <w:szCs w:val="24"/>
          <w:lang w:val="sl-SI"/>
        </w:rPr>
        <w:t>Crnogorski zdravstveni sistem je suočen sa problemima koji zahtijevaju hitnu intervenciju, kako u finansiranju i upravljanju, tako i u pružanju zdravstvenih usluga. U Crnoj Gori, učešće javnih troškova za zdravstvo u ukupnom bruto društvenom proizvodu (BDP) iznosi 6,59%</w:t>
      </w:r>
      <w:r w:rsidRPr="0036741F">
        <w:rPr>
          <w:rStyle w:val="FootnoteReference"/>
          <w:rFonts w:ascii="Times New Roman" w:hAnsi="Times New Roman" w:cs="Times New Roman"/>
          <w:noProof/>
          <w:sz w:val="24"/>
          <w:szCs w:val="24"/>
          <w:lang w:val="sl-SI"/>
        </w:rPr>
        <w:footnoteReference w:id="2"/>
      </w:r>
      <w:r w:rsidRPr="0036741F">
        <w:rPr>
          <w:rFonts w:ascii="Times New Roman" w:hAnsi="Times New Roman" w:cs="Times New Roman"/>
          <w:noProof/>
          <w:sz w:val="24"/>
          <w:szCs w:val="24"/>
          <w:lang w:val="sl-SI"/>
        </w:rPr>
        <w:t xml:space="preserve"> u 2005. godini, što predstavlja povećanje u odnosu na 2004. godinu kada je iznosilo 6,23%. Ovaj porast je nastavak trenda iz prethodnih godina, što će numerički biti predstavljeno kasnije u poglavlju.Ovo predstavlja prilično visok procenat. Izdaci na obrazovanje iznose 5, 9% BDP-ja, dok izdaci na socijalnu zaštitu iznose približno 3%. Ukoliko se uzme u obzir da procenat </w:t>
      </w:r>
      <w:r w:rsidRPr="0036741F">
        <w:rPr>
          <w:rFonts w:ascii="Times New Roman" w:hAnsi="Times New Roman" w:cs="Times New Roman"/>
          <w:noProof/>
          <w:sz w:val="24"/>
          <w:szCs w:val="24"/>
          <w:lang w:val="sl-SI"/>
        </w:rPr>
        <w:lastRenderedPageBreak/>
        <w:t xml:space="preserve">izdataka na zdravstvo u ukupnim budžetskim rashodima iznosi oko 14,58% u 2005. godini, što predstavlja povećanje u odnosu na 2004. godinu kada je iznosilo 13,68%, onda se dolazi do zaključka da je reforma u oblasti zdravstva neophodna. Uprkos relativno visokim izdacima za zdravstvo, nedostaje unaprjeđenje osnovnih zdravstvenih indikatora u posljednjih nekoliko godina. </w:t>
      </w:r>
    </w:p>
    <w:p w:rsidR="00205306" w:rsidRPr="0036741F" w:rsidRDefault="00205306" w:rsidP="008F3589">
      <w:pPr>
        <w:spacing w:line="360" w:lineRule="auto"/>
        <w:jc w:val="both"/>
        <w:rPr>
          <w:rFonts w:ascii="Times New Roman" w:hAnsi="Times New Roman" w:cs="Times New Roman"/>
          <w:i/>
          <w:noProof/>
          <w:sz w:val="24"/>
          <w:szCs w:val="24"/>
          <w:lang w:val="sl-SI"/>
        </w:rPr>
      </w:pPr>
      <w:r w:rsidRPr="0036741F">
        <w:rPr>
          <w:rFonts w:ascii="Times New Roman" w:hAnsi="Times New Roman" w:cs="Times New Roman"/>
          <w:noProof/>
          <w:sz w:val="24"/>
          <w:szCs w:val="24"/>
          <w:lang w:val="sl-SI"/>
        </w:rPr>
        <w:t>Ovako visoka potrošnja za zdravstvo je značajno iznad prosjeka zemalja sa s</w:t>
      </w:r>
      <w:r w:rsidR="00E31DC2" w:rsidRPr="0036741F">
        <w:rPr>
          <w:rFonts w:ascii="Times New Roman" w:hAnsi="Times New Roman" w:cs="Times New Roman"/>
          <w:noProof/>
          <w:sz w:val="24"/>
          <w:szCs w:val="24"/>
          <w:lang w:val="sl-SI"/>
        </w:rPr>
        <w:t xml:space="preserve">ličnim nivoima dohotka. Grafik </w:t>
      </w:r>
      <w:r w:rsidR="006538B8" w:rsidRPr="0036741F">
        <w:rPr>
          <w:rFonts w:ascii="Times New Roman" w:hAnsi="Times New Roman" w:cs="Times New Roman"/>
          <w:noProof/>
          <w:sz w:val="24"/>
          <w:szCs w:val="24"/>
          <w:lang w:val="sl-SI"/>
        </w:rPr>
        <w:t>2</w:t>
      </w:r>
      <w:r w:rsidRPr="0036741F">
        <w:rPr>
          <w:rFonts w:ascii="Times New Roman" w:hAnsi="Times New Roman" w:cs="Times New Roman"/>
          <w:noProof/>
          <w:sz w:val="24"/>
          <w:szCs w:val="24"/>
          <w:lang w:val="sl-SI"/>
        </w:rPr>
        <w:t xml:space="preserve"> prikazuje odnos BDP-a po stanovniku i troškove za zdravstvo po stanovniku za izabrane zemlje Centralne i Istočne Evrope (CIS) za 2001. godinu</w:t>
      </w:r>
      <w:r w:rsidRPr="0036741F">
        <w:rPr>
          <w:rStyle w:val="FootnoteReference"/>
          <w:rFonts w:ascii="Times New Roman" w:hAnsi="Times New Roman" w:cs="Times New Roman"/>
          <w:noProof/>
          <w:sz w:val="24"/>
          <w:szCs w:val="24"/>
          <w:lang w:val="sl-SI"/>
        </w:rPr>
        <w:footnoteReference w:id="3"/>
      </w:r>
      <w:r w:rsidRPr="0036741F">
        <w:rPr>
          <w:rFonts w:ascii="Times New Roman" w:hAnsi="Times New Roman" w:cs="Times New Roman"/>
          <w:noProof/>
          <w:sz w:val="24"/>
          <w:szCs w:val="24"/>
          <w:lang w:val="sl-SI"/>
        </w:rPr>
        <w:t>. Izdaci za zdravstvo u Crnoj Gori su upoređeni sa izdacima u Albaniji, Bosni i Hercegovini, Bugarskoj, Hrvatskoj, Češkoj, Mađarskoj, Makedoniji Poljskoj, Rumuniji, Moldaviji, Slovačkoj i Sloveniji. Potrošnja Crne Gore za zdravstvo nalazi se iznad prosjeka navedenih zemalja (roza tačka na grafiku 1). Na x osi predstavljeni je BDP po stanovniku, izražen u internacionalnim dolarima, odnosno mjeren prema konceptu kupovne moći (PPP), dok su na y-osi predstavljeni izdaci na zdravstvo, ta</w:t>
      </w:r>
      <w:r w:rsidR="006538B8" w:rsidRPr="0036741F">
        <w:rPr>
          <w:rFonts w:ascii="Times New Roman" w:hAnsi="Times New Roman" w:cs="Times New Roman"/>
          <w:noProof/>
          <w:sz w:val="24"/>
          <w:szCs w:val="24"/>
          <w:lang w:val="sl-SI"/>
        </w:rPr>
        <w:t>k</w:t>
      </w:r>
      <w:r w:rsidRPr="0036741F">
        <w:rPr>
          <w:rFonts w:ascii="Times New Roman" w:hAnsi="Times New Roman" w:cs="Times New Roman"/>
          <w:noProof/>
          <w:sz w:val="24"/>
          <w:szCs w:val="24"/>
          <w:lang w:val="sl-SI"/>
        </w:rPr>
        <w:t>ođe mjereni u međunarodnim dolarima :</w:t>
      </w:r>
    </w:p>
    <w:p w:rsidR="00205306" w:rsidRPr="0036741F" w:rsidRDefault="00205306" w:rsidP="008F3589">
      <w:pPr>
        <w:spacing w:line="360" w:lineRule="auto"/>
        <w:ind w:firstLine="720"/>
        <w:jc w:val="both"/>
        <w:rPr>
          <w:rFonts w:ascii="Times New Roman" w:hAnsi="Times New Roman" w:cs="Times New Roman"/>
          <w:i/>
          <w:noProof/>
          <w:sz w:val="24"/>
          <w:szCs w:val="24"/>
          <w:lang w:val="sl-SI"/>
        </w:rPr>
      </w:pPr>
    </w:p>
    <w:p w:rsidR="00205306" w:rsidRPr="0036741F" w:rsidRDefault="00E31DC2" w:rsidP="008F3589">
      <w:pPr>
        <w:pStyle w:val="Heading6"/>
        <w:jc w:val="center"/>
        <w:rPr>
          <w:sz w:val="24"/>
          <w:szCs w:val="24"/>
          <w:lang w:val="sl-SI"/>
        </w:rPr>
      </w:pPr>
      <w:bookmarkStart w:id="4" w:name="_Toc205107710"/>
      <w:r w:rsidRPr="0036741F">
        <w:rPr>
          <w:sz w:val="24"/>
          <w:szCs w:val="24"/>
          <w:lang w:val="sl-SI"/>
        </w:rPr>
        <w:t xml:space="preserve">Grafik </w:t>
      </w:r>
      <w:r w:rsidR="006538B8" w:rsidRPr="0036741F">
        <w:rPr>
          <w:sz w:val="24"/>
          <w:szCs w:val="24"/>
          <w:lang w:val="sl-SI"/>
        </w:rPr>
        <w:t>2</w:t>
      </w:r>
      <w:r w:rsidR="00205306" w:rsidRPr="0036741F">
        <w:rPr>
          <w:sz w:val="24"/>
          <w:szCs w:val="24"/>
          <w:lang w:val="sl-SI"/>
        </w:rPr>
        <w:t>.  Poređenje  zdravstvenih izdataka u izabranim CIS zemljama  (2001.)</w:t>
      </w:r>
      <w:bookmarkEnd w:id="4"/>
    </w:p>
    <w:p w:rsidR="00205306" w:rsidRPr="0036741F" w:rsidRDefault="00205306" w:rsidP="008F3589">
      <w:pPr>
        <w:spacing w:line="360" w:lineRule="auto"/>
        <w:jc w:val="center"/>
        <w:rPr>
          <w:rFonts w:ascii="Times New Roman" w:hAnsi="Times New Roman" w:cs="Times New Roman"/>
          <w:b/>
          <w:bCs/>
          <w:noProof/>
          <w:color w:val="000000"/>
          <w:sz w:val="24"/>
          <w:szCs w:val="24"/>
          <w:lang w:val="sl-SI"/>
        </w:rPr>
      </w:pPr>
      <w:r w:rsidRPr="0036741F">
        <w:rPr>
          <w:rFonts w:ascii="Times New Roman" w:hAnsi="Times New Roman" w:cs="Times New Roman"/>
          <w:b/>
          <w:bCs/>
          <w:noProof/>
          <w:color w:val="000000"/>
          <w:sz w:val="24"/>
          <w:szCs w:val="24"/>
          <w:lang w:val="sr-Latn-CS" w:eastAsia="sr-Latn-CS"/>
        </w:rPr>
        <w:drawing>
          <wp:inline distT="0" distB="0" distL="0" distR="0">
            <wp:extent cx="4876800" cy="27432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05306" w:rsidRPr="0036741F" w:rsidRDefault="00205306" w:rsidP="008F3589">
      <w:pPr>
        <w:spacing w:line="360" w:lineRule="auto"/>
        <w:jc w:val="center"/>
        <w:rPr>
          <w:rFonts w:ascii="Times New Roman" w:hAnsi="Times New Roman" w:cs="Times New Roman"/>
          <w:b/>
          <w:bCs/>
          <w:noProof/>
          <w:color w:val="000000"/>
          <w:sz w:val="24"/>
          <w:szCs w:val="24"/>
          <w:lang w:val="sl-SI"/>
        </w:rPr>
      </w:pPr>
    </w:p>
    <w:p w:rsidR="00205306" w:rsidRPr="0036741F" w:rsidRDefault="00205306" w:rsidP="008F3589">
      <w:pPr>
        <w:spacing w:line="360" w:lineRule="auto"/>
        <w:jc w:val="both"/>
        <w:rPr>
          <w:rFonts w:ascii="Times New Roman" w:hAnsi="Times New Roman" w:cs="Times New Roman"/>
          <w:bCs/>
          <w:noProof/>
          <w:color w:val="000000"/>
          <w:sz w:val="24"/>
          <w:szCs w:val="24"/>
          <w:lang w:val="sl-SI"/>
        </w:rPr>
      </w:pPr>
      <w:r w:rsidRPr="0036741F">
        <w:rPr>
          <w:rFonts w:ascii="Times New Roman" w:hAnsi="Times New Roman" w:cs="Times New Roman"/>
          <w:bCs/>
          <w:noProof/>
          <w:color w:val="000000"/>
          <w:sz w:val="24"/>
          <w:szCs w:val="24"/>
          <w:lang w:val="sl-SI"/>
        </w:rPr>
        <w:lastRenderedPageBreak/>
        <w:t xml:space="preserve">Ovaj grafik je interesantan i za upoređivanje mikro i  makro alokacije u oblasti zdravstva, odnosno kako pojedinac donosi odluke o kupovini zdravstvene zaštite, a kako društvo kao cjelina. Pojedinac će povećati tražnju za zdravstvenom zaštitom kada je bolestan, odnosno kada ima povećanu </w:t>
      </w:r>
      <w:r w:rsidRPr="0036741F">
        <w:rPr>
          <w:rFonts w:ascii="Times New Roman" w:hAnsi="Times New Roman" w:cs="Times New Roman"/>
          <w:bCs/>
          <w:i/>
          <w:iCs/>
          <w:noProof/>
          <w:color w:val="000000"/>
          <w:sz w:val="24"/>
          <w:szCs w:val="24"/>
          <w:lang w:val="sl-SI"/>
        </w:rPr>
        <w:t>potrebu</w:t>
      </w:r>
      <w:r w:rsidRPr="0036741F">
        <w:rPr>
          <w:rFonts w:ascii="Times New Roman" w:hAnsi="Times New Roman" w:cs="Times New Roman"/>
          <w:bCs/>
          <w:noProof/>
          <w:color w:val="000000"/>
          <w:sz w:val="24"/>
          <w:szCs w:val="24"/>
          <w:lang w:val="sl-SI"/>
        </w:rPr>
        <w:t xml:space="preserve"> za njom. Zato mnogim pojedincima može nelogično zvučati zaključak (a koji može djelimično biti izvede</w:t>
      </w:r>
      <w:r w:rsidR="00E31DC2" w:rsidRPr="0036741F">
        <w:rPr>
          <w:rFonts w:ascii="Times New Roman" w:hAnsi="Times New Roman" w:cs="Times New Roman"/>
          <w:bCs/>
          <w:noProof/>
          <w:color w:val="000000"/>
          <w:sz w:val="24"/>
          <w:szCs w:val="24"/>
          <w:lang w:val="sl-SI"/>
        </w:rPr>
        <w:t xml:space="preserve">n i sa grafikona </w:t>
      </w:r>
      <w:r w:rsidR="006538B8" w:rsidRPr="0036741F">
        <w:rPr>
          <w:rFonts w:ascii="Times New Roman" w:hAnsi="Times New Roman" w:cs="Times New Roman"/>
          <w:bCs/>
          <w:noProof/>
          <w:color w:val="000000"/>
          <w:sz w:val="24"/>
          <w:szCs w:val="24"/>
          <w:lang w:val="sl-SI"/>
        </w:rPr>
        <w:t>2</w:t>
      </w:r>
      <w:r w:rsidRPr="0036741F">
        <w:rPr>
          <w:rFonts w:ascii="Times New Roman" w:hAnsi="Times New Roman" w:cs="Times New Roman"/>
          <w:bCs/>
          <w:noProof/>
          <w:color w:val="000000"/>
          <w:sz w:val="24"/>
          <w:szCs w:val="24"/>
          <w:lang w:val="sl-SI"/>
        </w:rPr>
        <w:t>), da zemlje troše više novca na zdravstvenu zaštitu zato što imaju više novca za trošenje, a ne zato što imaju veće medicinske potrebe. Ovu pojavu detaljnije smo objasnili u sedmom poglavlju. Ukratko, pojedinačne odluke o potrošnji za zdravstvenu zaštitu (mikro) značajno se razlikuju, i baziraju na različitim faktorima, od nacionalnih odluka, koje se donose kroz politički proces, o tome koji dio budžeta ili BDP-a bi trebalo da bude potrošen za zdravstvo (makro). Odnosno, kada se pomjeramo sa mikro na makro nivo, determinanta potrošnje se pomjera sa «potrebe za zdrasvstvenom zaštitom» na «raspoloživi dohodak».</w:t>
      </w:r>
    </w:p>
    <w:p w:rsidR="00205306" w:rsidRPr="0036741F" w:rsidRDefault="00E31DC2" w:rsidP="008F3589">
      <w:pPr>
        <w:spacing w:line="360" w:lineRule="auto"/>
        <w:jc w:val="both"/>
        <w:rPr>
          <w:rFonts w:ascii="Times New Roman" w:hAnsi="Times New Roman" w:cs="Times New Roman"/>
          <w:bCs/>
          <w:noProof/>
          <w:color w:val="000000"/>
          <w:sz w:val="24"/>
          <w:szCs w:val="24"/>
          <w:lang w:val="sl-SI"/>
        </w:rPr>
      </w:pPr>
      <w:r w:rsidRPr="0036741F">
        <w:rPr>
          <w:rFonts w:ascii="Times New Roman" w:hAnsi="Times New Roman" w:cs="Times New Roman"/>
          <w:bCs/>
          <w:noProof/>
          <w:color w:val="000000"/>
          <w:sz w:val="24"/>
          <w:szCs w:val="24"/>
          <w:lang w:val="sl-SI"/>
        </w:rPr>
        <w:t>Iako</w:t>
      </w:r>
      <w:r w:rsidR="00205306" w:rsidRPr="0036741F">
        <w:rPr>
          <w:rFonts w:ascii="Times New Roman" w:hAnsi="Times New Roman" w:cs="Times New Roman"/>
          <w:bCs/>
          <w:noProof/>
          <w:color w:val="000000"/>
          <w:sz w:val="24"/>
          <w:szCs w:val="24"/>
          <w:lang w:val="sl-SI"/>
        </w:rPr>
        <w:t xml:space="preserve"> Crna Gora troši više od zemalja sa sličnim nivoom dohotka, kada uporedimo izdatke za zdravstvo po stanovniku sa očekivanim trajanjem života, Crna Gora se pokazuje kao relativno dobra među izabranim CIS zemljama. Ovo poređenje ukazuje da Crna Gora ima relativno dobre zdravstvene performanse za svoj nivo potrošnje, ali se one ostvaruju po relativno visokom trošku za privredu kao cjelinu. Odnosno, očekivano trajanje života je posljedica karakteristika sistema, najviše u pogledu dostupnosti zdravstvene zaštite. Međutim, široka dostupnost nije neophodno uzrok visokih troškova, već značajnu ulogu igra i neefikasna upotreba sredsatva. Ovo je predstavljeno grafikom </w:t>
      </w:r>
      <w:r w:rsidR="006538B8" w:rsidRPr="0036741F">
        <w:rPr>
          <w:rFonts w:ascii="Times New Roman" w:hAnsi="Times New Roman" w:cs="Times New Roman"/>
          <w:bCs/>
          <w:noProof/>
          <w:color w:val="000000"/>
          <w:sz w:val="24"/>
          <w:szCs w:val="24"/>
          <w:lang w:val="sl-SI"/>
        </w:rPr>
        <w:t>3</w:t>
      </w:r>
      <w:r w:rsidR="00205306" w:rsidRPr="0036741F">
        <w:rPr>
          <w:rFonts w:ascii="Times New Roman" w:hAnsi="Times New Roman" w:cs="Times New Roman"/>
          <w:bCs/>
          <w:noProof/>
          <w:color w:val="000000"/>
          <w:sz w:val="24"/>
          <w:szCs w:val="24"/>
          <w:lang w:val="sl-SI"/>
        </w:rPr>
        <w:t xml:space="preserve"> (na x-osi su predstavljeni izdaci za zdravstvo po stanovniku, izraženi u međunarodnim dolarima, dok je na y-osi predstavljeno očekivano trajanje života):</w:t>
      </w:r>
    </w:p>
    <w:p w:rsidR="00205306" w:rsidRPr="0036741F" w:rsidRDefault="00205306" w:rsidP="008F3589">
      <w:pPr>
        <w:spacing w:line="360" w:lineRule="auto"/>
        <w:jc w:val="both"/>
        <w:rPr>
          <w:rFonts w:ascii="Times New Roman" w:hAnsi="Times New Roman" w:cs="Times New Roman"/>
          <w:bCs/>
          <w:noProof/>
          <w:color w:val="000000"/>
          <w:sz w:val="24"/>
          <w:szCs w:val="24"/>
          <w:lang w:val="sl-SI"/>
        </w:rPr>
      </w:pPr>
    </w:p>
    <w:p w:rsidR="00205306" w:rsidRPr="0036741F" w:rsidRDefault="00E31DC2" w:rsidP="008F3589">
      <w:pPr>
        <w:pStyle w:val="Heading6"/>
        <w:jc w:val="center"/>
        <w:rPr>
          <w:sz w:val="24"/>
          <w:szCs w:val="24"/>
          <w:lang w:val="sl-SI"/>
        </w:rPr>
      </w:pPr>
      <w:bookmarkStart w:id="5" w:name="_Toc205107711"/>
      <w:r w:rsidRPr="0036741F">
        <w:rPr>
          <w:sz w:val="24"/>
          <w:szCs w:val="24"/>
          <w:lang w:val="sl-SI"/>
        </w:rPr>
        <w:lastRenderedPageBreak/>
        <w:t xml:space="preserve">Grafik </w:t>
      </w:r>
      <w:r w:rsidR="006538B8" w:rsidRPr="0036741F">
        <w:rPr>
          <w:sz w:val="24"/>
          <w:szCs w:val="24"/>
          <w:lang w:val="sl-SI"/>
        </w:rPr>
        <w:t>3</w:t>
      </w:r>
      <w:r w:rsidR="00205306" w:rsidRPr="0036741F">
        <w:rPr>
          <w:sz w:val="24"/>
          <w:szCs w:val="24"/>
          <w:lang w:val="sl-SI"/>
        </w:rPr>
        <w:t>. Očekivano trajanje života i p.c. izdaci za zdravstvo u CIS zemljama (2001)</w:t>
      </w:r>
      <w:bookmarkEnd w:id="5"/>
    </w:p>
    <w:p w:rsidR="00205306" w:rsidRPr="0036741F" w:rsidRDefault="00205306" w:rsidP="008F3589">
      <w:pPr>
        <w:spacing w:line="360" w:lineRule="auto"/>
        <w:rPr>
          <w:rFonts w:ascii="Times New Roman" w:hAnsi="Times New Roman" w:cs="Times New Roman"/>
          <w:bCs/>
          <w:color w:val="000000"/>
          <w:sz w:val="24"/>
          <w:szCs w:val="24"/>
          <w:lang w:val="sl-SI"/>
        </w:rPr>
      </w:pPr>
      <w:r w:rsidRPr="0036741F">
        <w:rPr>
          <w:rFonts w:ascii="Times New Roman" w:hAnsi="Times New Roman" w:cs="Times New Roman"/>
          <w:bCs/>
          <w:iCs/>
          <w:color w:val="000000"/>
          <w:sz w:val="24"/>
          <w:szCs w:val="24"/>
          <w:lang w:val="sl-SI"/>
        </w:rPr>
        <w:t xml:space="preserve">        </w:t>
      </w:r>
      <w:r w:rsidRPr="0036741F">
        <w:rPr>
          <w:rStyle w:val="Heading6Char"/>
          <w:rFonts w:eastAsiaTheme="minorHAnsi"/>
          <w:sz w:val="24"/>
          <w:szCs w:val="24"/>
          <w:lang w:val="sl-SI"/>
        </w:rPr>
        <w:t xml:space="preserve"> </w:t>
      </w:r>
      <w:r w:rsidRPr="0036741F">
        <w:rPr>
          <w:rStyle w:val="Heading6Char"/>
          <w:rFonts w:eastAsiaTheme="minorHAnsi"/>
          <w:iCs/>
          <w:sz w:val="24"/>
          <w:szCs w:val="24"/>
          <w:lang w:val="sl-SI"/>
        </w:rPr>
        <w:t xml:space="preserve"> </w:t>
      </w:r>
      <w:r w:rsidRPr="0036741F">
        <w:rPr>
          <w:rFonts w:ascii="Times New Roman" w:hAnsi="Times New Roman" w:cs="Times New Roman"/>
          <w:noProof/>
          <w:sz w:val="24"/>
          <w:szCs w:val="24"/>
          <w:lang w:val="sr-Latn-CS" w:eastAsia="sr-Latn-CS"/>
        </w:rPr>
        <w:drawing>
          <wp:inline distT="0" distB="0" distL="0" distR="0">
            <wp:extent cx="4876800" cy="27432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05306" w:rsidRPr="0036741F" w:rsidRDefault="00205306" w:rsidP="008F3589">
      <w:pPr>
        <w:spacing w:line="360" w:lineRule="auto"/>
        <w:jc w:val="both"/>
        <w:rPr>
          <w:rFonts w:ascii="Times New Roman" w:hAnsi="Times New Roman" w:cs="Times New Roman"/>
          <w:noProof/>
          <w:sz w:val="24"/>
          <w:szCs w:val="24"/>
          <w:lang w:val="sl-SI"/>
        </w:rPr>
      </w:pPr>
    </w:p>
    <w:p w:rsidR="00205306" w:rsidRPr="0036741F" w:rsidRDefault="00E5080F" w:rsidP="008F3589">
      <w:pPr>
        <w:spacing w:line="360" w:lineRule="auto"/>
        <w:jc w:val="both"/>
        <w:rPr>
          <w:rFonts w:ascii="Times New Roman" w:hAnsi="Times New Roman" w:cs="Times New Roman"/>
          <w:noProof/>
          <w:sz w:val="24"/>
          <w:szCs w:val="24"/>
          <w:lang w:val="sl-SI"/>
        </w:rPr>
      </w:pPr>
      <w:r w:rsidRPr="0036741F">
        <w:rPr>
          <w:rFonts w:ascii="Times New Roman" w:hAnsi="Times New Roman" w:cs="Times New Roman"/>
          <w:noProof/>
          <w:sz w:val="24"/>
          <w:szCs w:val="24"/>
          <w:lang w:val="sl-SI"/>
        </w:rPr>
        <w:t>Stoga, kako bi reforma zdravstvenog sektora bila u skladu sa održivim razvojem, neophodno je utvrditi korake koji će dovesti do racion</w:t>
      </w:r>
      <w:r w:rsidR="006538B8" w:rsidRPr="0036741F">
        <w:rPr>
          <w:rFonts w:ascii="Times New Roman" w:hAnsi="Times New Roman" w:cs="Times New Roman"/>
          <w:noProof/>
          <w:sz w:val="24"/>
          <w:szCs w:val="24"/>
          <w:lang w:val="sl-SI"/>
        </w:rPr>
        <w:t>alne upotrebe značajnog dijela B</w:t>
      </w:r>
      <w:r w:rsidRPr="0036741F">
        <w:rPr>
          <w:rFonts w:ascii="Times New Roman" w:hAnsi="Times New Roman" w:cs="Times New Roman"/>
          <w:noProof/>
          <w:sz w:val="24"/>
          <w:szCs w:val="24"/>
          <w:lang w:val="sl-SI"/>
        </w:rPr>
        <w:t>DP koji se koristi u ovoj oblasti, odnosno kako omogućiti univerzalni pristup zdravstvenom sistemu i kvalitetnu zdrasvtvenu zaštitu.</w:t>
      </w:r>
    </w:p>
    <w:p w:rsidR="00CD7513" w:rsidRPr="0036741F" w:rsidRDefault="006538B8" w:rsidP="008F3589">
      <w:pPr>
        <w:spacing w:line="360" w:lineRule="auto"/>
        <w:jc w:val="both"/>
        <w:rPr>
          <w:rFonts w:ascii="Times New Roman" w:hAnsi="Times New Roman" w:cs="Times New Roman"/>
          <w:noProof/>
          <w:sz w:val="24"/>
          <w:szCs w:val="24"/>
          <w:lang w:val="sl-SI"/>
        </w:rPr>
      </w:pPr>
      <w:r w:rsidRPr="0036741F">
        <w:rPr>
          <w:rFonts w:ascii="Times New Roman" w:hAnsi="Times New Roman" w:cs="Times New Roman"/>
          <w:noProof/>
          <w:sz w:val="24"/>
          <w:szCs w:val="24"/>
          <w:lang w:val="sl-SI"/>
        </w:rPr>
        <w:t>Da zaključimo, nakon analize, sa jedne strane institucija zdravstvenog sistema, a sa druge strane ponašanja pojedinaca kao proizvođača sopstvenog zdravlja, biće date preporuke za reformu zdravstvenog sistema, a  u skladu sa ciljevima održivog razvoja.</w:t>
      </w:r>
    </w:p>
    <w:p w:rsidR="006538B8" w:rsidRPr="0036741F" w:rsidRDefault="006538B8" w:rsidP="008F3589">
      <w:pPr>
        <w:spacing w:line="360" w:lineRule="auto"/>
        <w:jc w:val="both"/>
        <w:rPr>
          <w:rFonts w:ascii="Times New Roman" w:hAnsi="Times New Roman" w:cs="Times New Roman"/>
          <w:noProof/>
          <w:sz w:val="24"/>
          <w:szCs w:val="24"/>
          <w:lang w:val="sl-SI"/>
        </w:rPr>
      </w:pPr>
    </w:p>
    <w:p w:rsidR="006538B8" w:rsidRPr="0036741F" w:rsidRDefault="006538B8" w:rsidP="008F3589">
      <w:pPr>
        <w:spacing w:line="360" w:lineRule="auto"/>
        <w:jc w:val="both"/>
        <w:rPr>
          <w:rFonts w:ascii="Times New Roman" w:hAnsi="Times New Roman" w:cs="Times New Roman"/>
          <w:b/>
          <w:noProof/>
          <w:sz w:val="24"/>
          <w:szCs w:val="24"/>
          <w:lang w:val="sl-SI"/>
        </w:rPr>
      </w:pPr>
      <w:r w:rsidRPr="0036741F">
        <w:rPr>
          <w:rFonts w:ascii="Times New Roman" w:hAnsi="Times New Roman" w:cs="Times New Roman"/>
          <w:b/>
          <w:noProof/>
          <w:sz w:val="24"/>
          <w:szCs w:val="24"/>
          <w:lang w:val="sl-SI"/>
        </w:rPr>
        <w:t>Sistem socijalne zaštite</w:t>
      </w:r>
    </w:p>
    <w:p w:rsidR="00761509" w:rsidRPr="0036741F" w:rsidRDefault="00154AF8" w:rsidP="008F3589">
      <w:pPr>
        <w:autoSpaceDE w:val="0"/>
        <w:autoSpaceDN w:val="0"/>
        <w:adjustRightInd w:val="0"/>
        <w:spacing w:after="0" w:line="360" w:lineRule="auto"/>
        <w:jc w:val="both"/>
        <w:rPr>
          <w:rFonts w:ascii="Times New Roman" w:hAnsi="Times New Roman" w:cs="Times New Roman"/>
          <w:color w:val="000000"/>
          <w:sz w:val="24"/>
          <w:szCs w:val="24"/>
        </w:rPr>
      </w:pPr>
      <w:r w:rsidRPr="0036741F">
        <w:rPr>
          <w:rFonts w:ascii="Times New Roman" w:hAnsi="Times New Roman" w:cs="Times New Roman"/>
          <w:color w:val="000000"/>
          <w:sz w:val="24"/>
          <w:szCs w:val="24"/>
        </w:rPr>
        <w:t xml:space="preserve">U ovom dijelu projekta biće dat </w:t>
      </w:r>
      <w:r w:rsidR="00761509" w:rsidRPr="0036741F">
        <w:rPr>
          <w:rFonts w:ascii="Times New Roman" w:hAnsi="Times New Roman" w:cs="Times New Roman"/>
          <w:color w:val="000000"/>
          <w:sz w:val="24"/>
          <w:szCs w:val="24"/>
        </w:rPr>
        <w:t>prikaz sistema socijalne zaš</w:t>
      </w:r>
      <w:r w:rsidRPr="0036741F">
        <w:rPr>
          <w:rFonts w:ascii="Times New Roman" w:hAnsi="Times New Roman" w:cs="Times New Roman"/>
          <w:color w:val="000000"/>
          <w:sz w:val="24"/>
          <w:szCs w:val="24"/>
        </w:rPr>
        <w:t xml:space="preserve">tite u Crnoj Gori. Biće urađena </w:t>
      </w:r>
      <w:r w:rsidR="00761509" w:rsidRPr="0036741F">
        <w:rPr>
          <w:rFonts w:ascii="Times New Roman" w:hAnsi="Times New Roman" w:cs="Times New Roman"/>
          <w:color w:val="000000"/>
          <w:sz w:val="24"/>
          <w:szCs w:val="24"/>
        </w:rPr>
        <w:t>analiz</w:t>
      </w:r>
      <w:r w:rsidRPr="0036741F">
        <w:rPr>
          <w:rFonts w:ascii="Times New Roman" w:hAnsi="Times New Roman" w:cs="Times New Roman"/>
          <w:color w:val="000000"/>
          <w:sz w:val="24"/>
          <w:szCs w:val="24"/>
        </w:rPr>
        <w:t>a postojeć</w:t>
      </w:r>
      <w:r w:rsidR="00761509" w:rsidRPr="0036741F">
        <w:rPr>
          <w:rFonts w:ascii="Times New Roman" w:hAnsi="Times New Roman" w:cs="Times New Roman"/>
          <w:color w:val="000000"/>
          <w:sz w:val="24"/>
          <w:szCs w:val="24"/>
        </w:rPr>
        <w:t>eg sistema, na osnovu</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analize ekonomskih i demografskih trendova, kao i trendova na tržiš</w:t>
      </w:r>
      <w:r w:rsidRPr="0036741F">
        <w:rPr>
          <w:rFonts w:ascii="Times New Roman" w:hAnsi="Times New Roman" w:cs="Times New Roman"/>
          <w:color w:val="000000"/>
          <w:sz w:val="24"/>
          <w:szCs w:val="24"/>
        </w:rPr>
        <w:t>tu rada koji utič</w:t>
      </w:r>
      <w:r w:rsidR="00761509" w:rsidRPr="0036741F">
        <w:rPr>
          <w:rFonts w:ascii="Times New Roman" w:hAnsi="Times New Roman" w:cs="Times New Roman"/>
          <w:color w:val="000000"/>
          <w:sz w:val="24"/>
          <w:szCs w:val="24"/>
        </w:rPr>
        <w:t>u na</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socijalnu zaštitu</w:t>
      </w:r>
      <w:r w:rsidRPr="0036741F">
        <w:rPr>
          <w:rFonts w:ascii="Times New Roman" w:hAnsi="Times New Roman" w:cs="Times New Roman"/>
          <w:color w:val="000000"/>
          <w:sz w:val="24"/>
          <w:szCs w:val="24"/>
        </w:rPr>
        <w:t>.</w:t>
      </w:r>
    </w:p>
    <w:p w:rsidR="00154AF8" w:rsidRPr="0036741F" w:rsidRDefault="00154AF8"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Pr="0036741F"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36741F">
        <w:rPr>
          <w:rFonts w:ascii="Times New Roman" w:hAnsi="Times New Roman" w:cs="Times New Roman"/>
          <w:color w:val="000000"/>
          <w:sz w:val="24"/>
          <w:szCs w:val="24"/>
        </w:rPr>
        <w:lastRenderedPageBreak/>
        <w:t>Uprkos progresu ostvarenom u poslednjih nekoliko godina, koji se ogleda u zna</w:t>
      </w:r>
      <w:r w:rsidR="00BB67A1" w:rsidRPr="0036741F">
        <w:rPr>
          <w:rFonts w:ascii="Times New Roman" w:hAnsi="Times New Roman" w:cs="Times New Roman"/>
          <w:color w:val="000000"/>
          <w:sz w:val="24"/>
          <w:szCs w:val="24"/>
        </w:rPr>
        <w:t>č</w:t>
      </w:r>
      <w:r w:rsidRPr="0036741F">
        <w:rPr>
          <w:rFonts w:ascii="Times New Roman" w:hAnsi="Times New Roman" w:cs="Times New Roman"/>
          <w:color w:val="000000"/>
          <w:sz w:val="24"/>
          <w:szCs w:val="24"/>
        </w:rPr>
        <w:t>ajnom</w:t>
      </w:r>
      <w:r w:rsidR="00BB67A1" w:rsidRPr="0036741F">
        <w:rPr>
          <w:rFonts w:ascii="Times New Roman" w:hAnsi="Times New Roman" w:cs="Times New Roman"/>
          <w:color w:val="000000"/>
          <w:sz w:val="24"/>
          <w:szCs w:val="24"/>
        </w:rPr>
        <w:t xml:space="preserve"> </w:t>
      </w:r>
      <w:r w:rsidRPr="0036741F">
        <w:rPr>
          <w:rFonts w:ascii="Times New Roman" w:hAnsi="Times New Roman" w:cs="Times New Roman"/>
          <w:color w:val="000000"/>
          <w:sz w:val="24"/>
          <w:szCs w:val="24"/>
        </w:rPr>
        <w:t>s</w:t>
      </w:r>
      <w:r w:rsidR="008F3589" w:rsidRPr="0036741F">
        <w:rPr>
          <w:rFonts w:ascii="Times New Roman" w:hAnsi="Times New Roman" w:cs="Times New Roman"/>
          <w:color w:val="000000"/>
          <w:sz w:val="24"/>
          <w:szCs w:val="24"/>
        </w:rPr>
        <w:t>manjenju stope nezaposlenosti, c</w:t>
      </w:r>
      <w:r w:rsidRPr="0036741F">
        <w:rPr>
          <w:rFonts w:ascii="Times New Roman" w:hAnsi="Times New Roman" w:cs="Times New Roman"/>
          <w:color w:val="000000"/>
          <w:sz w:val="24"/>
          <w:szCs w:val="24"/>
        </w:rPr>
        <w:t>rnogorsko tržište rada još uvijek ima nekoliko ozbiljnih</w:t>
      </w:r>
      <w:r w:rsidR="008F3589" w:rsidRPr="0036741F">
        <w:rPr>
          <w:rFonts w:ascii="Times New Roman" w:hAnsi="Times New Roman" w:cs="Times New Roman"/>
          <w:color w:val="000000"/>
          <w:sz w:val="24"/>
          <w:szCs w:val="24"/>
        </w:rPr>
        <w:t xml:space="preserve"> </w:t>
      </w:r>
      <w:r w:rsidRPr="0036741F">
        <w:rPr>
          <w:rFonts w:ascii="Times New Roman" w:hAnsi="Times New Roman" w:cs="Times New Roman"/>
          <w:color w:val="000000"/>
          <w:sz w:val="24"/>
          <w:szCs w:val="24"/>
        </w:rPr>
        <w:t>problema. Prvo, relativno nis</w:t>
      </w:r>
      <w:r w:rsidR="008F3589" w:rsidRPr="0036741F">
        <w:rPr>
          <w:rFonts w:ascii="Times New Roman" w:hAnsi="Times New Roman" w:cs="Times New Roman"/>
          <w:color w:val="000000"/>
          <w:sz w:val="24"/>
          <w:szCs w:val="24"/>
        </w:rPr>
        <w:t>ka stopa aktivnosti, posebno međ</w:t>
      </w:r>
      <w:r w:rsidRPr="0036741F">
        <w:rPr>
          <w:rFonts w:ascii="Times New Roman" w:hAnsi="Times New Roman" w:cs="Times New Roman"/>
          <w:color w:val="000000"/>
          <w:sz w:val="24"/>
          <w:szCs w:val="24"/>
        </w:rPr>
        <w:t>u ženskom radnom snagom, visoki</w:t>
      </w:r>
    </w:p>
    <w:p w:rsidR="00761509" w:rsidRPr="0036741F" w:rsidRDefault="008F3589" w:rsidP="008F3589">
      <w:pPr>
        <w:autoSpaceDE w:val="0"/>
        <w:autoSpaceDN w:val="0"/>
        <w:adjustRightInd w:val="0"/>
        <w:spacing w:after="0" w:line="360" w:lineRule="auto"/>
        <w:jc w:val="both"/>
        <w:rPr>
          <w:rFonts w:ascii="Times New Roman" w:hAnsi="Times New Roman" w:cs="Times New Roman"/>
          <w:color w:val="000000"/>
          <w:sz w:val="24"/>
          <w:szCs w:val="24"/>
        </w:rPr>
      </w:pPr>
      <w:r w:rsidRPr="0036741F">
        <w:rPr>
          <w:rFonts w:ascii="Times New Roman" w:hAnsi="Times New Roman" w:cs="Times New Roman"/>
          <w:color w:val="000000"/>
          <w:sz w:val="24"/>
          <w:szCs w:val="24"/>
        </w:rPr>
        <w:t>udio dugoroč</w:t>
      </w:r>
      <w:r w:rsidR="00761509" w:rsidRPr="0036741F">
        <w:rPr>
          <w:rFonts w:ascii="Times New Roman" w:hAnsi="Times New Roman" w:cs="Times New Roman"/>
          <w:color w:val="000000"/>
          <w:sz w:val="24"/>
          <w:szCs w:val="24"/>
        </w:rPr>
        <w:t>no nezaposlenih osoba i neravnotež</w:t>
      </w:r>
      <w:r w:rsidRPr="0036741F">
        <w:rPr>
          <w:rFonts w:ascii="Times New Roman" w:hAnsi="Times New Roman" w:cs="Times New Roman"/>
          <w:color w:val="000000"/>
          <w:sz w:val="24"/>
          <w:szCs w:val="24"/>
        </w:rPr>
        <w:t>a izmeđ</w:t>
      </w:r>
      <w:r w:rsidR="00761509" w:rsidRPr="0036741F">
        <w:rPr>
          <w:rFonts w:ascii="Times New Roman" w:hAnsi="Times New Roman" w:cs="Times New Roman"/>
          <w:color w:val="000000"/>
          <w:sz w:val="24"/>
          <w:szCs w:val="24"/>
        </w:rPr>
        <w:t xml:space="preserve">u ponude i potražnje za </w:t>
      </w:r>
      <w:r w:rsidRPr="0036741F">
        <w:rPr>
          <w:rFonts w:ascii="Times New Roman" w:hAnsi="Times New Roman" w:cs="Times New Roman"/>
          <w:color w:val="000000"/>
          <w:sz w:val="24"/>
          <w:szCs w:val="24"/>
        </w:rPr>
        <w:t xml:space="preserve">random </w:t>
      </w:r>
      <w:r w:rsidR="00761509" w:rsidRPr="0036741F">
        <w:rPr>
          <w:rFonts w:ascii="Times New Roman" w:hAnsi="Times New Roman" w:cs="Times New Roman"/>
          <w:color w:val="000000"/>
          <w:sz w:val="24"/>
          <w:szCs w:val="24"/>
        </w:rPr>
        <w:t>snagom. Ovakva situacija je uzrokovana kombinacijom nekoliko faktora, koji su imali odlucujuci</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uticaj – gubitak poslova zbog restrukturiranja, barijere za ulazak na tržište rada (visok nivo</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zaštite zaposlenja i visoko fiskalno opterecenje troškova rada). Dodatno, posebno ozbiljan</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problem crnogorskog tržišta rada je i veliki o</w:t>
      </w:r>
      <w:r w:rsidR="00387BC4">
        <w:rPr>
          <w:rFonts w:ascii="Times New Roman" w:hAnsi="Times New Roman" w:cs="Times New Roman"/>
          <w:color w:val="000000"/>
          <w:sz w:val="24"/>
          <w:szCs w:val="24"/>
        </w:rPr>
        <w:t>bim neregistrovane zaposlenosti. P</w:t>
      </w:r>
      <w:r w:rsidR="00761509" w:rsidRPr="0036741F">
        <w:rPr>
          <w:rFonts w:ascii="Times New Roman" w:hAnsi="Times New Roman" w:cs="Times New Roman"/>
          <w:color w:val="000000"/>
          <w:sz w:val="24"/>
          <w:szCs w:val="24"/>
        </w:rPr>
        <w:t>rema Istraživanju</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radne snage iz 2007. godine,</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blizu 50.000 osoba ili 22,6% ukupnog broja zaposlenih je</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neregistrovano. Dodatno, za 31.000 ili 17,5% registrovanih zaposlenih osoba poslodavci placaju</w:t>
      </w:r>
      <w:r w:rsidRPr="0036741F">
        <w:rPr>
          <w:rFonts w:ascii="Times New Roman" w:hAnsi="Times New Roman" w:cs="Times New Roman"/>
          <w:color w:val="000000"/>
          <w:sz w:val="24"/>
          <w:szCs w:val="24"/>
        </w:rPr>
        <w:t xml:space="preserve"> </w:t>
      </w:r>
      <w:r w:rsidR="00761509" w:rsidRPr="0036741F">
        <w:rPr>
          <w:rFonts w:ascii="Times New Roman" w:hAnsi="Times New Roman" w:cs="Times New Roman"/>
          <w:color w:val="000000"/>
          <w:sz w:val="24"/>
          <w:szCs w:val="24"/>
        </w:rPr>
        <w:t>doprinose za obavezno socijalno osiguranje samo na 50% njihove stvarne zarade.</w:t>
      </w:r>
    </w:p>
    <w:p w:rsidR="008F3589" w:rsidRPr="00154AF8" w:rsidRDefault="008F3589"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Rashodi za socijalnu zaštitu u Crnoj Gori, prema završ</w:t>
      </w:r>
      <w:r w:rsidR="008F3589">
        <w:rPr>
          <w:rFonts w:ascii="Times New Roman" w:hAnsi="Times New Roman" w:cs="Times New Roman"/>
          <w:color w:val="000000"/>
          <w:sz w:val="24"/>
          <w:szCs w:val="24"/>
        </w:rPr>
        <w:t>nom rač</w:t>
      </w:r>
      <w:r w:rsidRPr="00154AF8">
        <w:rPr>
          <w:rFonts w:ascii="Times New Roman" w:hAnsi="Times New Roman" w:cs="Times New Roman"/>
          <w:color w:val="000000"/>
          <w:sz w:val="24"/>
          <w:szCs w:val="24"/>
        </w:rPr>
        <w:t>unu budžeta za 2007.godinu, su</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iznosili 426,9 miliona eura ili 17,44% procijenjenog BDP-a. Izdaci na prava i naknade iz oblasti</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socijalne zaštite su cinili 15,8%22 BDP-a, dok se na socijalno staranje, socijalne usluge i mjere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odnosilo 0,52% BDP u 2007. godini. Drugi troškovi, koji se prvenstveno odnose na troškove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institucija socijalne zaštite su cinili 1,13% BDP-a. Prava socijalne pomoci su predstavljala</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1,13%BDP-a, dok su prava po osnovu socijalnog osiguranja predstavljala 14,57% BDP-a.</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Ministarstvo zdravlja, rada i socijalnog staranja je institucija zaduž</w:t>
      </w:r>
      <w:r w:rsidR="008F3589">
        <w:rPr>
          <w:rFonts w:ascii="Times New Roman" w:hAnsi="Times New Roman" w:cs="Times New Roman"/>
          <w:color w:val="000000"/>
          <w:sz w:val="24"/>
          <w:szCs w:val="24"/>
        </w:rPr>
        <w:t>ena za rukovođ</w:t>
      </w:r>
      <w:r w:rsidRPr="00154AF8">
        <w:rPr>
          <w:rFonts w:ascii="Times New Roman" w:hAnsi="Times New Roman" w:cs="Times New Roman"/>
          <w:color w:val="000000"/>
          <w:sz w:val="24"/>
          <w:szCs w:val="24"/>
        </w:rPr>
        <w:t>enje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cjelokupnog sistema socijalne zaštite u Crnoj Gori. Institucije koje su zaduž</w:t>
      </w:r>
      <w:r w:rsidR="008F3589">
        <w:rPr>
          <w:rFonts w:ascii="Times New Roman" w:hAnsi="Times New Roman" w:cs="Times New Roman"/>
          <w:color w:val="000000"/>
          <w:sz w:val="24"/>
          <w:szCs w:val="24"/>
        </w:rPr>
        <w:t>ene za sprovođ</w:t>
      </w:r>
      <w:r w:rsidRPr="00154AF8">
        <w:rPr>
          <w:rFonts w:ascii="Times New Roman" w:hAnsi="Times New Roman" w:cs="Times New Roman"/>
          <w:color w:val="000000"/>
          <w:sz w:val="24"/>
          <w:szCs w:val="24"/>
        </w:rPr>
        <w:t>enje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socijalne zaštite su centri za socijalni rad (socijalna pomoc), rezidencijalne institucije</w:t>
      </w:r>
      <w:r w:rsidR="00387BC4">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(institucionalno staranje), Fond penzijskog i invalidskog osiguranja (penzijsko i invalidsko</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osiguranje), Fond za zdravstveno osiguranje (zdravstveno osiguranje) i Zavod za zapošljavanje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Crne Gore (osiguranje od nezaposlenosti).</w:t>
      </w:r>
    </w:p>
    <w:p w:rsidR="00387BC4" w:rsidRPr="00154AF8" w:rsidRDefault="00387BC4"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Pr="00154AF8"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Sistem socijalne zaš</w:t>
      </w:r>
      <w:r w:rsidR="008F3589">
        <w:rPr>
          <w:rFonts w:ascii="Times New Roman" w:hAnsi="Times New Roman" w:cs="Times New Roman"/>
          <w:color w:val="000000"/>
          <w:sz w:val="24"/>
          <w:szCs w:val="24"/>
        </w:rPr>
        <w:t>tite obezbjeđ</w:t>
      </w:r>
      <w:r w:rsidRPr="00154AF8">
        <w:rPr>
          <w:rFonts w:ascii="Times New Roman" w:hAnsi="Times New Roman" w:cs="Times New Roman"/>
          <w:color w:val="000000"/>
          <w:sz w:val="24"/>
          <w:szCs w:val="24"/>
        </w:rPr>
        <w:t>uje naknade zasnovane na osiguranju i naknade socijalne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pomoci. Naknad</w:t>
      </w:r>
      <w:r w:rsidR="00387BC4">
        <w:rPr>
          <w:rFonts w:ascii="Times New Roman" w:hAnsi="Times New Roman" w:cs="Times New Roman"/>
          <w:color w:val="000000"/>
          <w:sz w:val="24"/>
          <w:szCs w:val="24"/>
        </w:rPr>
        <w:t>e zasnovane na osiguranju uključ</w:t>
      </w:r>
      <w:r w:rsidRPr="00154AF8">
        <w:rPr>
          <w:rFonts w:ascii="Times New Roman" w:hAnsi="Times New Roman" w:cs="Times New Roman"/>
          <w:color w:val="000000"/>
          <w:sz w:val="24"/>
          <w:szCs w:val="24"/>
        </w:rPr>
        <w:t>uju: naknadu za nezaposlenost, naknadu</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zarade tokom porodiljskog odsustva, naknade iz penzijsko-invalidskog osiguranja (starosna,</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porodicna i invalidska penzija, i naknada za tjelesno oštecenje). Najvažnija prava socijalne</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pomoci</w:t>
      </w:r>
      <w:r w:rsidR="00387BC4">
        <w:rPr>
          <w:rFonts w:ascii="Times New Roman" w:hAnsi="Times New Roman" w:cs="Times New Roman"/>
          <w:color w:val="000000"/>
          <w:sz w:val="24"/>
          <w:szCs w:val="24"/>
        </w:rPr>
        <w:t xml:space="preserve"> ukljucuju: materijalno obezbjeđ</w:t>
      </w:r>
      <w:r w:rsidRPr="00154AF8">
        <w:rPr>
          <w:rFonts w:ascii="Times New Roman" w:hAnsi="Times New Roman" w:cs="Times New Roman"/>
          <w:color w:val="000000"/>
          <w:sz w:val="24"/>
          <w:szCs w:val="24"/>
        </w:rPr>
        <w:t>enje porodice (uslovljeno materijalnom situacijom), djeciji</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dodatak, l</w:t>
      </w:r>
      <w:r w:rsidR="00387BC4">
        <w:rPr>
          <w:rFonts w:ascii="Times New Roman" w:hAnsi="Times New Roman" w:cs="Times New Roman"/>
          <w:color w:val="000000"/>
          <w:sz w:val="24"/>
          <w:szCs w:val="24"/>
        </w:rPr>
        <w:t>icna invalidnina, dodatak za tuđ</w:t>
      </w:r>
      <w:r w:rsidRPr="00154AF8">
        <w:rPr>
          <w:rFonts w:ascii="Times New Roman" w:hAnsi="Times New Roman" w:cs="Times New Roman"/>
          <w:color w:val="000000"/>
          <w:sz w:val="24"/>
          <w:szCs w:val="24"/>
        </w:rPr>
        <w:t>u njegu i pomo</w:t>
      </w:r>
      <w:r w:rsidR="00387BC4">
        <w:rPr>
          <w:rFonts w:ascii="Times New Roman" w:hAnsi="Times New Roman" w:cs="Times New Roman"/>
          <w:color w:val="000000"/>
          <w:sz w:val="24"/>
          <w:szCs w:val="24"/>
        </w:rPr>
        <w:t>ć</w:t>
      </w:r>
      <w:r w:rsidRPr="00154AF8">
        <w:rPr>
          <w:rFonts w:ascii="Times New Roman" w:hAnsi="Times New Roman" w:cs="Times New Roman"/>
          <w:color w:val="000000"/>
          <w:sz w:val="24"/>
          <w:szCs w:val="24"/>
        </w:rPr>
        <w:t>, naknada za starateljsku porodicu, i</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lastRenderedPageBreak/>
        <w:t>druge naknade. Od pocetka tranzicije, raspoloživost i kriterijumi za naknade su promijenjeni, za</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neke naknade raspoloživost je proširena a za neke sužena. Raspoloživost najvažnijeg prava</w:t>
      </w:r>
      <w:r w:rsidR="008F3589">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socijalne pomoci je proširena, dok je na primjer raspoloživost za djeciji dodatak smanjena sa</w:t>
      </w:r>
      <w:r w:rsidR="00387BC4">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univerzalne na</w:t>
      </w:r>
      <w:r w:rsidR="008F3589">
        <w:rPr>
          <w:rFonts w:ascii="Times New Roman" w:hAnsi="Times New Roman" w:cs="Times New Roman"/>
          <w:color w:val="000000"/>
          <w:sz w:val="24"/>
          <w:szCs w:val="24"/>
        </w:rPr>
        <w:t xml:space="preserve"> ogranicen broj korisnika. Takođ</w:t>
      </w:r>
      <w:r w:rsidRPr="00154AF8">
        <w:rPr>
          <w:rFonts w:ascii="Times New Roman" w:hAnsi="Times New Roman" w:cs="Times New Roman"/>
          <w:color w:val="000000"/>
          <w:sz w:val="24"/>
          <w:szCs w:val="24"/>
        </w:rPr>
        <w:t>e, ne</w:t>
      </w:r>
      <w:r w:rsidR="008F3589">
        <w:rPr>
          <w:rFonts w:ascii="Times New Roman" w:hAnsi="Times New Roman" w:cs="Times New Roman"/>
          <w:color w:val="000000"/>
          <w:sz w:val="24"/>
          <w:szCs w:val="24"/>
        </w:rPr>
        <w:t>ka nova prava su definisana, međ</w:t>
      </w:r>
      <w:r w:rsidRPr="00154AF8">
        <w:rPr>
          <w:rFonts w:ascii="Times New Roman" w:hAnsi="Times New Roman" w:cs="Times New Roman"/>
          <w:color w:val="000000"/>
          <w:sz w:val="24"/>
          <w:szCs w:val="24"/>
        </w:rPr>
        <w:t>u kojima je</w:t>
      </w: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najvaž</w:t>
      </w:r>
      <w:r w:rsidR="00387BC4">
        <w:rPr>
          <w:rFonts w:ascii="Times New Roman" w:hAnsi="Times New Roman" w:cs="Times New Roman"/>
          <w:color w:val="000000"/>
          <w:sz w:val="24"/>
          <w:szCs w:val="24"/>
        </w:rPr>
        <w:t>nije pravo na lič</w:t>
      </w:r>
      <w:r w:rsidRPr="00154AF8">
        <w:rPr>
          <w:rFonts w:ascii="Times New Roman" w:hAnsi="Times New Roman" w:cs="Times New Roman"/>
          <w:color w:val="000000"/>
          <w:sz w:val="24"/>
          <w:szCs w:val="24"/>
        </w:rPr>
        <w:t>nu invalidninu.</w:t>
      </w:r>
    </w:p>
    <w:p w:rsidR="00387BC4" w:rsidRDefault="00387BC4"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387BC4" w:rsidP="008F3589">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Detaljniji prikaz sistema socijalne zaštite, kao i faktora koji utiču na njega, biće dat u narednoj fazi projekta, a sada ćemo definisati ključne</w:t>
      </w:r>
      <w:r w:rsidR="00761509" w:rsidRPr="00154AF8">
        <w:rPr>
          <w:rFonts w:ascii="Times New Roman" w:hAnsi="Times New Roman" w:cs="Times New Roman"/>
          <w:color w:val="000000"/>
          <w:sz w:val="24"/>
          <w:szCs w:val="24"/>
        </w:rPr>
        <w:t xml:space="preserve"> izazov</w:t>
      </w:r>
      <w:r>
        <w:rPr>
          <w:rFonts w:ascii="Times New Roman" w:hAnsi="Times New Roman" w:cs="Times New Roman"/>
          <w:color w:val="000000"/>
          <w:sz w:val="24"/>
          <w:szCs w:val="24"/>
        </w:rPr>
        <w:t>e</w:t>
      </w:r>
      <w:r w:rsidR="00761509" w:rsidRPr="00154AF8">
        <w:rPr>
          <w:rFonts w:ascii="Times New Roman" w:hAnsi="Times New Roman" w:cs="Times New Roman"/>
          <w:color w:val="000000"/>
          <w:sz w:val="24"/>
          <w:szCs w:val="24"/>
        </w:rPr>
        <w:t xml:space="preserve"> skladu sa EU ciljevima procesa socijalne zaštite i socijalne</w:t>
      </w:r>
      <w:r w:rsidR="00EC2A03">
        <w:rPr>
          <w:rFonts w:ascii="Times New Roman" w:hAnsi="Times New Roman" w:cs="Times New Roman"/>
          <w:color w:val="000000"/>
          <w:sz w:val="24"/>
          <w:szCs w:val="24"/>
        </w:rPr>
        <w:t xml:space="preserve"> </w:t>
      </w:r>
      <w:r w:rsidR="00761509" w:rsidRPr="00154AF8">
        <w:rPr>
          <w:rFonts w:ascii="Times New Roman" w:hAnsi="Times New Roman" w:cs="Times New Roman"/>
          <w:color w:val="000000"/>
          <w:sz w:val="24"/>
          <w:szCs w:val="24"/>
        </w:rPr>
        <w:t>inkluzije, koje je usvojio Evropski Savjet u martu 2006. godine.</w:t>
      </w:r>
      <w:r>
        <w:rPr>
          <w:rFonts w:ascii="Times New Roman" w:hAnsi="Times New Roman" w:cs="Times New Roman"/>
          <w:color w:val="000000"/>
          <w:sz w:val="24"/>
          <w:szCs w:val="24"/>
        </w:rPr>
        <w:t xml:space="preserve"> Izazovi su:</w:t>
      </w:r>
    </w:p>
    <w:p w:rsidR="00EC2A03" w:rsidRPr="00154AF8" w:rsidRDefault="00EC2A03"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o Usmjeravanje prava socijalne zaštite ka zadovoljavanju potreba za socijalnom pomoci.</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Prava socijalne pomoci trebaju biti fokusirana ili na raspoloživost ili na trajanje i visinu</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naknada. Rigidnosti u oba aspekta ugrožavaju adekvatnost, dostupnost i socijalnu</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koheziju korisnika.</w:t>
      </w:r>
    </w:p>
    <w:p w:rsidR="00EC2A03" w:rsidRPr="00154AF8" w:rsidRDefault="00EC2A03"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o Transparentnost i monitoring sistema. Transparentan i dostupan sistem socijalne zaštite</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može povecati povjerenje korisnika socijalne zaštite. Rigidnije sankcije za zloupotrebe</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sistema socijalne zaštite, za korisnike i provajdere socijalne zaštite, može unaprijediti</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javno mišljenje o profesionalcima ukljucenim u sistem socijalne zaštite.</w:t>
      </w:r>
    </w:p>
    <w:p w:rsidR="00EC2A03" w:rsidRPr="00154AF8" w:rsidRDefault="00EC2A03"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o Decentralizacija Centara za socijalni rad u smislu finansiranja i pružanja pomoci. Na ovaj</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nacin ce se ukljuciti opštine, sa ciljem obezbjeUivanja dostupnosti i efikasnosti sistema</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socijalne pomoci.</w:t>
      </w:r>
    </w:p>
    <w:p w:rsidR="00387BC4" w:rsidRPr="00154AF8" w:rsidRDefault="00387BC4" w:rsidP="008F3589">
      <w:pPr>
        <w:autoSpaceDE w:val="0"/>
        <w:autoSpaceDN w:val="0"/>
        <w:adjustRightInd w:val="0"/>
        <w:spacing w:after="0" w:line="360" w:lineRule="auto"/>
        <w:jc w:val="both"/>
        <w:rPr>
          <w:rFonts w:ascii="Times New Roman" w:hAnsi="Times New Roman" w:cs="Times New Roman"/>
          <w:color w:val="000000"/>
          <w:sz w:val="24"/>
          <w:szCs w:val="24"/>
        </w:rPr>
      </w:pPr>
    </w:p>
    <w:p w:rsidR="00761509" w:rsidRDefault="00761509" w:rsidP="008F3589">
      <w:pPr>
        <w:autoSpaceDE w:val="0"/>
        <w:autoSpaceDN w:val="0"/>
        <w:adjustRightInd w:val="0"/>
        <w:spacing w:after="0" w:line="360" w:lineRule="auto"/>
        <w:jc w:val="both"/>
        <w:rPr>
          <w:rFonts w:ascii="Times New Roman" w:hAnsi="Times New Roman" w:cs="Times New Roman"/>
          <w:color w:val="000000"/>
          <w:sz w:val="24"/>
          <w:szCs w:val="24"/>
        </w:rPr>
      </w:pPr>
      <w:r w:rsidRPr="00154AF8">
        <w:rPr>
          <w:rFonts w:ascii="Times New Roman" w:hAnsi="Times New Roman" w:cs="Times New Roman"/>
          <w:color w:val="000000"/>
          <w:sz w:val="24"/>
          <w:szCs w:val="24"/>
        </w:rPr>
        <w:t xml:space="preserve">o </w:t>
      </w:r>
      <w:r w:rsidR="00EC2A03">
        <w:rPr>
          <w:rFonts w:ascii="Times New Roman" w:hAnsi="Times New Roman" w:cs="Times New Roman"/>
          <w:color w:val="000000"/>
          <w:sz w:val="24"/>
          <w:szCs w:val="24"/>
        </w:rPr>
        <w:t>Unapređ</w:t>
      </w:r>
      <w:r w:rsidRPr="00154AF8">
        <w:rPr>
          <w:rFonts w:ascii="Times New Roman" w:hAnsi="Times New Roman" w:cs="Times New Roman"/>
          <w:color w:val="000000"/>
          <w:sz w:val="24"/>
          <w:szCs w:val="24"/>
        </w:rPr>
        <w:t>enje administrativnih kapaciteta institucija ukljucenih u obezbje</w:t>
      </w:r>
      <w:r w:rsidR="00EC2A03">
        <w:rPr>
          <w:rFonts w:ascii="Times New Roman" w:hAnsi="Times New Roman" w:cs="Times New Roman"/>
          <w:color w:val="000000"/>
          <w:sz w:val="24"/>
          <w:szCs w:val="24"/>
        </w:rPr>
        <w:t>đ</w:t>
      </w:r>
      <w:r w:rsidRPr="00154AF8">
        <w:rPr>
          <w:rFonts w:ascii="Times New Roman" w:hAnsi="Times New Roman" w:cs="Times New Roman"/>
          <w:color w:val="000000"/>
          <w:sz w:val="24"/>
          <w:szCs w:val="24"/>
        </w:rPr>
        <w:t>ivanje socijalne</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pomoci, prvenstveno Ministarstva zadravlja rada i socijalnog staranja, kao i institucija</w:t>
      </w:r>
      <w:r w:rsidR="00EC2A03">
        <w:rPr>
          <w:rFonts w:ascii="Times New Roman" w:hAnsi="Times New Roman" w:cs="Times New Roman"/>
          <w:color w:val="000000"/>
          <w:sz w:val="24"/>
          <w:szCs w:val="24"/>
        </w:rPr>
        <w:t xml:space="preserve"> </w:t>
      </w:r>
      <w:r w:rsidRPr="00154AF8">
        <w:rPr>
          <w:rFonts w:ascii="Times New Roman" w:hAnsi="Times New Roman" w:cs="Times New Roman"/>
          <w:color w:val="000000"/>
          <w:sz w:val="24"/>
          <w:szCs w:val="24"/>
        </w:rPr>
        <w:t>koje pružaju usluge socijalne zaštite.</w:t>
      </w:r>
    </w:p>
    <w:p w:rsidR="00387BC4" w:rsidRDefault="00387BC4" w:rsidP="008F3589">
      <w:pPr>
        <w:autoSpaceDE w:val="0"/>
        <w:autoSpaceDN w:val="0"/>
        <w:adjustRightInd w:val="0"/>
        <w:spacing w:after="0" w:line="360" w:lineRule="auto"/>
        <w:jc w:val="both"/>
        <w:rPr>
          <w:rFonts w:ascii="Times New Roman" w:hAnsi="Times New Roman" w:cs="Times New Roman"/>
          <w:color w:val="000000"/>
          <w:sz w:val="24"/>
          <w:szCs w:val="24"/>
        </w:rPr>
      </w:pPr>
    </w:p>
    <w:p w:rsidR="00CC5785" w:rsidRDefault="00CC5785" w:rsidP="00CC5785">
      <w:pPr>
        <w:autoSpaceDE w:val="0"/>
        <w:autoSpaceDN w:val="0"/>
        <w:adjustRightInd w:val="0"/>
        <w:spacing w:after="0" w:line="360" w:lineRule="auto"/>
        <w:jc w:val="both"/>
        <w:rPr>
          <w:rFonts w:ascii="TTFFAC3728t00" w:hAnsi="TTFFAC3728t00" w:cs="TTFFAC3728t00"/>
          <w:sz w:val="21"/>
          <w:szCs w:val="21"/>
        </w:rPr>
      </w:pPr>
      <w:r>
        <w:rPr>
          <w:rFonts w:ascii="Times New Roman" w:hAnsi="Times New Roman" w:cs="Times New Roman"/>
          <w:color w:val="000000"/>
          <w:sz w:val="24"/>
          <w:szCs w:val="24"/>
        </w:rPr>
        <w:t>Pored ovih, bitno je navesti i izazove za iskorjenjivanje siromaštva i socijalne isključenosti, a to su</w:t>
      </w:r>
      <w:r>
        <w:rPr>
          <w:rFonts w:ascii="TTFFAC3728t00" w:hAnsi="TTFFAC3728t00" w:cs="TTFFAC3728t00"/>
          <w:sz w:val="21"/>
          <w:szCs w:val="21"/>
        </w:rPr>
        <w:t>:</w:t>
      </w: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Identifikacija i dizajn odgovarajucih mjera za iskljucene grupe, ukljucujuci one koje još</w:t>
      </w:r>
      <w:r>
        <w:rPr>
          <w:rFonts w:ascii="Times New Roman" w:hAnsi="Times New Roman" w:cs="Times New Roman"/>
          <w:sz w:val="24"/>
          <w:szCs w:val="24"/>
        </w:rPr>
        <w:t xml:space="preserve"> </w:t>
      </w:r>
      <w:r w:rsidRPr="00CC5785">
        <w:rPr>
          <w:rFonts w:ascii="Times New Roman" w:hAnsi="Times New Roman" w:cs="Times New Roman"/>
          <w:sz w:val="24"/>
          <w:szCs w:val="24"/>
        </w:rPr>
        <w:t>uvijek vlada ne prepoznaje kao iskljucene, i ukljuciti siromašne zaposlene osobe,</w:t>
      </w:r>
      <w:r>
        <w:rPr>
          <w:rFonts w:ascii="Times New Roman" w:hAnsi="Times New Roman" w:cs="Times New Roman"/>
          <w:sz w:val="24"/>
          <w:szCs w:val="24"/>
        </w:rPr>
        <w:t xml:space="preserve"> </w:t>
      </w:r>
      <w:r w:rsidRPr="00CC5785">
        <w:rPr>
          <w:rFonts w:ascii="Times New Roman" w:hAnsi="Times New Roman" w:cs="Times New Roman"/>
          <w:sz w:val="24"/>
          <w:szCs w:val="24"/>
        </w:rPr>
        <w:t xml:space="preserve">tehnološke viškove, </w:t>
      </w:r>
      <w:r w:rsidRPr="00CC5785">
        <w:rPr>
          <w:rFonts w:ascii="Times New Roman" w:hAnsi="Times New Roman" w:cs="Times New Roman"/>
          <w:sz w:val="24"/>
          <w:szCs w:val="24"/>
        </w:rPr>
        <w:lastRenderedPageBreak/>
        <w:t>žene iz etnickih zajednica koje žive u ruralnim oblastima, velike</w:t>
      </w:r>
      <w:r>
        <w:rPr>
          <w:rFonts w:ascii="Times New Roman" w:hAnsi="Times New Roman" w:cs="Times New Roman"/>
          <w:sz w:val="24"/>
          <w:szCs w:val="24"/>
        </w:rPr>
        <w:t xml:space="preserve"> </w:t>
      </w:r>
      <w:r w:rsidRPr="00CC5785">
        <w:rPr>
          <w:rFonts w:ascii="Times New Roman" w:hAnsi="Times New Roman" w:cs="Times New Roman"/>
          <w:sz w:val="24"/>
          <w:szCs w:val="24"/>
        </w:rPr>
        <w:t>porodice, nezaposlene roditelje i samohrane roditelje, i osobe smještene u institucije</w:t>
      </w:r>
      <w:r>
        <w:rPr>
          <w:rFonts w:ascii="Times New Roman" w:hAnsi="Times New Roman" w:cs="Times New Roman"/>
          <w:sz w:val="24"/>
          <w:szCs w:val="24"/>
        </w:rPr>
        <w:t xml:space="preserve"> </w:t>
      </w:r>
      <w:r w:rsidRPr="00CC5785">
        <w:rPr>
          <w:rFonts w:ascii="Times New Roman" w:hAnsi="Times New Roman" w:cs="Times New Roman"/>
          <w:sz w:val="24"/>
          <w:szCs w:val="24"/>
        </w:rPr>
        <w:t>socijalne zaštite.</w:t>
      </w:r>
    </w:p>
    <w:p w:rsidR="00CC5785" w:rsidRPr="00CC5785" w:rsidRDefault="00CC5785" w:rsidP="00CC5785">
      <w:pPr>
        <w:autoSpaceDE w:val="0"/>
        <w:autoSpaceDN w:val="0"/>
        <w:adjustRightInd w:val="0"/>
        <w:spacing w:after="0" w:line="360" w:lineRule="auto"/>
        <w:jc w:val="both"/>
        <w:rPr>
          <w:rFonts w:ascii="Times New Roman" w:hAnsi="Times New Roman" w:cs="Times New Roman"/>
          <w:sz w:val="24"/>
          <w:szCs w:val="24"/>
        </w:rPr>
      </w:pP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Diversifikacija mjera politike za razlicite grupe koje žive u siromaštvu, ukljucujuci</w:t>
      </w:r>
      <w:r>
        <w:rPr>
          <w:rFonts w:ascii="Times New Roman" w:hAnsi="Times New Roman" w:cs="Times New Roman"/>
          <w:sz w:val="24"/>
          <w:szCs w:val="24"/>
        </w:rPr>
        <w:t xml:space="preserve"> </w:t>
      </w:r>
      <w:r w:rsidRPr="00CC5785">
        <w:rPr>
          <w:rFonts w:ascii="Times New Roman" w:hAnsi="Times New Roman" w:cs="Times New Roman"/>
          <w:sz w:val="24"/>
          <w:szCs w:val="24"/>
        </w:rPr>
        <w:t>prilagoUavanje mjera potrebama korisnika, kombinovanje obuka i savjetodavnih usluga</w:t>
      </w:r>
      <w:r>
        <w:rPr>
          <w:rFonts w:ascii="Times New Roman" w:hAnsi="Times New Roman" w:cs="Times New Roman"/>
          <w:sz w:val="24"/>
          <w:szCs w:val="24"/>
        </w:rPr>
        <w:t xml:space="preserve"> </w:t>
      </w:r>
      <w:r w:rsidRPr="00CC5785">
        <w:rPr>
          <w:rFonts w:ascii="Times New Roman" w:hAnsi="Times New Roman" w:cs="Times New Roman"/>
          <w:sz w:val="24"/>
          <w:szCs w:val="24"/>
        </w:rPr>
        <w:t>pojedinaca koji su siromašni i povecanje finansijske pomoci tradicionalno siromašnim</w:t>
      </w:r>
      <w:r>
        <w:rPr>
          <w:rFonts w:ascii="Times New Roman" w:hAnsi="Times New Roman" w:cs="Times New Roman"/>
          <w:sz w:val="24"/>
          <w:szCs w:val="24"/>
        </w:rPr>
        <w:t xml:space="preserve"> </w:t>
      </w:r>
      <w:r w:rsidRPr="00CC5785">
        <w:rPr>
          <w:rFonts w:ascii="Times New Roman" w:hAnsi="Times New Roman" w:cs="Times New Roman"/>
          <w:sz w:val="24"/>
          <w:szCs w:val="24"/>
        </w:rPr>
        <w:t>(Romi) i hronicno siromašnim osobama.</w:t>
      </w:r>
    </w:p>
    <w:p w:rsidR="00CC5785" w:rsidRPr="00CC5785" w:rsidRDefault="00CC5785" w:rsidP="00CC5785">
      <w:pPr>
        <w:autoSpaceDE w:val="0"/>
        <w:autoSpaceDN w:val="0"/>
        <w:adjustRightInd w:val="0"/>
        <w:spacing w:after="0" w:line="360" w:lineRule="auto"/>
        <w:jc w:val="both"/>
        <w:rPr>
          <w:rFonts w:ascii="Times New Roman" w:hAnsi="Times New Roman" w:cs="Times New Roman"/>
          <w:sz w:val="24"/>
          <w:szCs w:val="24"/>
        </w:rPr>
      </w:pP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Povecanje pristupa razlicitim socijalnim resursima, pravima i uslugama, posebno pristup</w:t>
      </w:r>
      <w:r>
        <w:rPr>
          <w:rFonts w:ascii="Times New Roman" w:hAnsi="Times New Roman" w:cs="Times New Roman"/>
          <w:sz w:val="24"/>
          <w:szCs w:val="24"/>
        </w:rPr>
        <w:t xml:space="preserve"> </w:t>
      </w:r>
      <w:r w:rsidRPr="00CC5785">
        <w:rPr>
          <w:rFonts w:ascii="Times New Roman" w:hAnsi="Times New Roman" w:cs="Times New Roman"/>
          <w:sz w:val="24"/>
          <w:szCs w:val="24"/>
        </w:rPr>
        <w:t>obrazovanju i zdravstvu za osobe koje žive u udaljenim ruralnim oblastima.</w:t>
      </w:r>
      <w:r>
        <w:rPr>
          <w:rFonts w:ascii="Times New Roman" w:hAnsi="Times New Roman" w:cs="Times New Roman"/>
          <w:sz w:val="24"/>
          <w:szCs w:val="24"/>
        </w:rPr>
        <w:t xml:space="preserve"> </w:t>
      </w: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Ukljucivanje u obrazovni sistem i obuku mladih nezaposlenih osoba.</w:t>
      </w:r>
    </w:p>
    <w:p w:rsidR="00CC5785" w:rsidRPr="00CC5785" w:rsidRDefault="00CC5785" w:rsidP="00CC5785">
      <w:pPr>
        <w:autoSpaceDE w:val="0"/>
        <w:autoSpaceDN w:val="0"/>
        <w:adjustRightInd w:val="0"/>
        <w:spacing w:after="0" w:line="360" w:lineRule="auto"/>
        <w:jc w:val="both"/>
        <w:rPr>
          <w:rFonts w:ascii="Times New Roman" w:hAnsi="Times New Roman" w:cs="Times New Roman"/>
          <w:sz w:val="24"/>
          <w:szCs w:val="24"/>
        </w:rPr>
      </w:pP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Prevencija socijalne iskljucenosti kroz povecanje upisa u obrazovni sistem, smanjenjem</w:t>
      </w:r>
      <w:r>
        <w:rPr>
          <w:rFonts w:ascii="Times New Roman" w:hAnsi="Times New Roman" w:cs="Times New Roman"/>
          <w:sz w:val="24"/>
          <w:szCs w:val="24"/>
        </w:rPr>
        <w:t xml:space="preserve"> </w:t>
      </w:r>
      <w:r w:rsidRPr="00CC5785">
        <w:rPr>
          <w:rFonts w:ascii="Times New Roman" w:hAnsi="Times New Roman" w:cs="Times New Roman"/>
          <w:sz w:val="24"/>
          <w:szCs w:val="24"/>
        </w:rPr>
        <w:t>broja osoba koje rano napuštaju obrazovni sistem i povecanjem pristupa osnovnom</w:t>
      </w:r>
      <w:r>
        <w:rPr>
          <w:rFonts w:ascii="Times New Roman" w:hAnsi="Times New Roman" w:cs="Times New Roman"/>
          <w:sz w:val="24"/>
          <w:szCs w:val="24"/>
        </w:rPr>
        <w:t xml:space="preserve"> </w:t>
      </w:r>
      <w:r w:rsidRPr="00CC5785">
        <w:rPr>
          <w:rFonts w:ascii="Times New Roman" w:hAnsi="Times New Roman" w:cs="Times New Roman"/>
          <w:sz w:val="24"/>
          <w:szCs w:val="24"/>
        </w:rPr>
        <w:t>obrazovanju za ugrožene grupe, npr. djeca Romi, djeca sa invalidnošcu.</w:t>
      </w:r>
    </w:p>
    <w:p w:rsidR="00CC5785" w:rsidRPr="00CC5785" w:rsidRDefault="00CC5785" w:rsidP="00CC5785">
      <w:pPr>
        <w:autoSpaceDE w:val="0"/>
        <w:autoSpaceDN w:val="0"/>
        <w:adjustRightInd w:val="0"/>
        <w:spacing w:after="0" w:line="360" w:lineRule="auto"/>
        <w:jc w:val="both"/>
        <w:rPr>
          <w:rFonts w:ascii="Times New Roman" w:hAnsi="Times New Roman" w:cs="Times New Roman"/>
          <w:sz w:val="24"/>
          <w:szCs w:val="24"/>
        </w:rPr>
      </w:pPr>
    </w:p>
    <w:p w:rsidR="00CC5785" w:rsidRDefault="00CC5785" w:rsidP="00CC5785">
      <w:pPr>
        <w:autoSpaceDE w:val="0"/>
        <w:autoSpaceDN w:val="0"/>
        <w:adjustRightInd w:val="0"/>
        <w:spacing w:after="0" w:line="360" w:lineRule="auto"/>
        <w:jc w:val="both"/>
        <w:rPr>
          <w:rFonts w:ascii="Times New Roman" w:hAnsi="Times New Roman" w:cs="Times New Roman"/>
          <w:sz w:val="24"/>
          <w:szCs w:val="24"/>
        </w:rPr>
      </w:pPr>
      <w:r w:rsidRPr="00CC5785">
        <w:rPr>
          <w:rFonts w:ascii="Times New Roman" w:hAnsi="Times New Roman" w:cs="Times New Roman"/>
          <w:sz w:val="24"/>
          <w:szCs w:val="24"/>
        </w:rPr>
        <w:t>o Efikasna implementacija planiranih aktivnosti za iskorjenjivanje siromaštva, kao i aktivni</w:t>
      </w:r>
      <w:r>
        <w:rPr>
          <w:rFonts w:ascii="Times New Roman" w:hAnsi="Times New Roman" w:cs="Times New Roman"/>
          <w:sz w:val="24"/>
          <w:szCs w:val="24"/>
        </w:rPr>
        <w:t xml:space="preserve"> </w:t>
      </w:r>
      <w:r w:rsidRPr="00CC5785">
        <w:rPr>
          <w:rFonts w:ascii="Times New Roman" w:hAnsi="Times New Roman" w:cs="Times New Roman"/>
          <w:sz w:val="24"/>
          <w:szCs w:val="24"/>
        </w:rPr>
        <w:t>monitoring procesa implementacije. Postojece strategije za suzbijanje siromaštva u Crnoj</w:t>
      </w:r>
      <w:r>
        <w:rPr>
          <w:rFonts w:ascii="Times New Roman" w:hAnsi="Times New Roman" w:cs="Times New Roman"/>
          <w:sz w:val="24"/>
          <w:szCs w:val="24"/>
        </w:rPr>
        <w:t xml:space="preserve"> </w:t>
      </w:r>
      <w:r w:rsidRPr="00CC5785">
        <w:rPr>
          <w:rFonts w:ascii="Times New Roman" w:hAnsi="Times New Roman" w:cs="Times New Roman"/>
          <w:sz w:val="24"/>
          <w:szCs w:val="24"/>
        </w:rPr>
        <w:t>Gori su definisane u skladu sa ciljevima EU i ukazuju na spremnost Vlade da intenzivira</w:t>
      </w:r>
      <w:r>
        <w:rPr>
          <w:rFonts w:ascii="Times New Roman" w:hAnsi="Times New Roman" w:cs="Times New Roman"/>
          <w:sz w:val="24"/>
          <w:szCs w:val="24"/>
        </w:rPr>
        <w:t xml:space="preserve"> </w:t>
      </w:r>
      <w:r w:rsidRPr="00CC5785">
        <w:rPr>
          <w:rFonts w:ascii="Times New Roman" w:hAnsi="Times New Roman" w:cs="Times New Roman"/>
          <w:sz w:val="24"/>
          <w:szCs w:val="24"/>
        </w:rPr>
        <w:t>aktivnosti na ublažavanju socijalne iskljucenosti u Crnoj Gori.</w:t>
      </w:r>
    </w:p>
    <w:p w:rsidR="00CC5785" w:rsidRPr="00CC5785" w:rsidRDefault="00CC5785" w:rsidP="00CC5785">
      <w:pPr>
        <w:autoSpaceDE w:val="0"/>
        <w:autoSpaceDN w:val="0"/>
        <w:adjustRightInd w:val="0"/>
        <w:spacing w:after="0" w:line="360" w:lineRule="auto"/>
        <w:jc w:val="both"/>
        <w:rPr>
          <w:rFonts w:ascii="Times New Roman" w:hAnsi="Times New Roman" w:cs="Times New Roman"/>
          <w:color w:val="000000"/>
          <w:sz w:val="24"/>
          <w:szCs w:val="24"/>
          <w:lang w:val="sl-SI"/>
        </w:rPr>
      </w:pPr>
    </w:p>
    <w:p w:rsidR="00387BC4" w:rsidRPr="00CC5785" w:rsidRDefault="00B81C42" w:rsidP="00CC5785">
      <w:pPr>
        <w:autoSpaceDE w:val="0"/>
        <w:autoSpaceDN w:val="0"/>
        <w:adjustRightInd w:val="0"/>
        <w:spacing w:after="0" w:line="360" w:lineRule="auto"/>
        <w:jc w:val="center"/>
        <w:rPr>
          <w:rFonts w:ascii="Times New Roman" w:hAnsi="Times New Roman" w:cs="Times New Roman"/>
          <w:color w:val="000000"/>
          <w:sz w:val="24"/>
          <w:szCs w:val="24"/>
        </w:rPr>
      </w:pPr>
      <w:r w:rsidRPr="00CC5785">
        <w:rPr>
          <w:rFonts w:ascii="Times New Roman" w:hAnsi="Times New Roman" w:cs="Times New Roman"/>
          <w:color w:val="000000"/>
          <w:sz w:val="24"/>
          <w:szCs w:val="24"/>
        </w:rPr>
        <w:t>***</w:t>
      </w:r>
    </w:p>
    <w:p w:rsidR="00B81C42" w:rsidRPr="00CC5785" w:rsidRDefault="00B81C42" w:rsidP="00CC5785">
      <w:pPr>
        <w:autoSpaceDE w:val="0"/>
        <w:autoSpaceDN w:val="0"/>
        <w:adjustRightInd w:val="0"/>
        <w:spacing w:after="0" w:line="360" w:lineRule="auto"/>
        <w:jc w:val="both"/>
        <w:rPr>
          <w:rFonts w:ascii="Times New Roman" w:hAnsi="Times New Roman" w:cs="Times New Roman"/>
          <w:color w:val="000000"/>
          <w:sz w:val="24"/>
          <w:szCs w:val="24"/>
        </w:rPr>
      </w:pPr>
    </w:p>
    <w:p w:rsidR="00B81C42" w:rsidRPr="00B81C42" w:rsidRDefault="00FE742D" w:rsidP="00CC5785">
      <w:pPr>
        <w:autoSpaceDE w:val="0"/>
        <w:autoSpaceDN w:val="0"/>
        <w:adjustRightInd w:val="0"/>
        <w:spacing w:after="0" w:line="360" w:lineRule="auto"/>
        <w:jc w:val="both"/>
        <w:rPr>
          <w:rFonts w:ascii="Times New Roman" w:hAnsi="Times New Roman" w:cs="Times New Roman"/>
          <w:color w:val="000000"/>
          <w:sz w:val="24"/>
          <w:szCs w:val="24"/>
          <w:lang w:val="sl-SI"/>
        </w:rPr>
      </w:pPr>
      <w:r w:rsidRPr="00CC5785">
        <w:rPr>
          <w:rFonts w:ascii="Times New Roman" w:hAnsi="Times New Roman" w:cs="Times New Roman"/>
          <w:color w:val="000000"/>
          <w:sz w:val="24"/>
          <w:szCs w:val="24"/>
        </w:rPr>
        <w:t>U toku analize zdravstvenog sistema i sistema socijalne zaštite, biće uzet u obzir uticaj demografskih trendova na ove sisteme, a na osnovu projekcija koje će b</w:t>
      </w:r>
      <w:r>
        <w:rPr>
          <w:rFonts w:ascii="Times New Roman" w:hAnsi="Times New Roman" w:cs="Times New Roman"/>
          <w:color w:val="000000"/>
          <w:sz w:val="24"/>
          <w:szCs w:val="24"/>
        </w:rPr>
        <w:t xml:space="preserve">iti dio ovog projekta. </w:t>
      </w:r>
    </w:p>
    <w:p w:rsidR="00CC5785" w:rsidRPr="00B81C42" w:rsidRDefault="00CC5785">
      <w:pPr>
        <w:autoSpaceDE w:val="0"/>
        <w:autoSpaceDN w:val="0"/>
        <w:adjustRightInd w:val="0"/>
        <w:spacing w:after="0" w:line="360" w:lineRule="auto"/>
        <w:jc w:val="both"/>
        <w:rPr>
          <w:rFonts w:ascii="Times New Roman" w:hAnsi="Times New Roman" w:cs="Times New Roman"/>
          <w:color w:val="000000"/>
          <w:sz w:val="24"/>
          <w:szCs w:val="24"/>
          <w:lang w:val="sl-SI"/>
        </w:rPr>
      </w:pPr>
    </w:p>
    <w:sectPr w:rsidR="00CC5785" w:rsidRPr="00B81C42" w:rsidSect="00BF3D3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101" w:rsidRDefault="00F42101" w:rsidP="00205306">
      <w:pPr>
        <w:spacing w:after="0" w:line="240" w:lineRule="auto"/>
      </w:pPr>
      <w:r>
        <w:separator/>
      </w:r>
    </w:p>
  </w:endnote>
  <w:endnote w:type="continuationSeparator" w:id="0">
    <w:p w:rsidR="00F42101" w:rsidRDefault="00F42101" w:rsidP="00205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Times New Roman YU">
    <w:altName w:val="Courier New"/>
    <w:charset w:val="00"/>
    <w:family w:val="roman"/>
    <w:pitch w:val="variable"/>
    <w:sig w:usb0="00000003" w:usb1="00000000" w:usb2="00000000" w:usb3="00000000" w:csb0="00000001" w:csb1="00000000"/>
  </w:font>
  <w:font w:name="TTFFAC372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101" w:rsidRDefault="00F42101" w:rsidP="00205306">
      <w:pPr>
        <w:spacing w:after="0" w:line="240" w:lineRule="auto"/>
      </w:pPr>
      <w:r>
        <w:separator/>
      </w:r>
    </w:p>
  </w:footnote>
  <w:footnote w:type="continuationSeparator" w:id="0">
    <w:p w:rsidR="00F42101" w:rsidRDefault="00F42101" w:rsidP="00205306">
      <w:pPr>
        <w:spacing w:after="0" w:line="240" w:lineRule="auto"/>
      </w:pPr>
      <w:r>
        <w:continuationSeparator/>
      </w:r>
    </w:p>
  </w:footnote>
  <w:footnote w:id="1">
    <w:p w:rsidR="00205306" w:rsidRDefault="00205306" w:rsidP="00205306">
      <w:pPr>
        <w:pStyle w:val="FootnoteText"/>
        <w:rPr>
          <w:lang w:val="sr-Latn-CS"/>
        </w:rPr>
      </w:pPr>
      <w:r>
        <w:rPr>
          <w:rStyle w:val="FootnoteReference"/>
          <w:lang w:val="sr-Latn-CS"/>
        </w:rPr>
        <w:footnoteRef/>
      </w:r>
      <w:r>
        <w:rPr>
          <w:lang w:val="sr-Latn-CS"/>
        </w:rPr>
        <w:t xml:space="preserve"> Za više informacija vidjeti “Strategija razvoja zdravstva Crne Gore”, Ministarstvo zdravlja, Septembar 2003.</w:t>
      </w:r>
    </w:p>
  </w:footnote>
  <w:footnote w:id="2">
    <w:p w:rsidR="00205306" w:rsidRDefault="00205306" w:rsidP="00205306">
      <w:pPr>
        <w:pStyle w:val="FootnoteText"/>
        <w:jc w:val="both"/>
        <w:rPr>
          <w:lang w:val="sr-Latn-CS"/>
        </w:rPr>
      </w:pPr>
      <w:r>
        <w:rPr>
          <w:rStyle w:val="FootnoteReference"/>
          <w:lang w:val="sr-Latn-CS"/>
        </w:rPr>
        <w:footnoteRef/>
      </w:r>
      <w:r>
        <w:rPr>
          <w:lang w:val="sr-Latn-CS"/>
        </w:rPr>
        <w:t xml:space="preserve"> Izvor: RZZO: Strateški razvojni plan zdravstvenog osiguranja CG do 2011. godine. </w:t>
      </w:r>
    </w:p>
  </w:footnote>
  <w:footnote w:id="3">
    <w:p w:rsidR="00205306" w:rsidRDefault="00205306" w:rsidP="00205306">
      <w:pPr>
        <w:pStyle w:val="FootnoteText"/>
        <w:jc w:val="both"/>
        <w:rPr>
          <w:lang w:val="sr-Latn-CS"/>
        </w:rPr>
      </w:pPr>
      <w:r>
        <w:rPr>
          <w:rStyle w:val="FootnoteReference"/>
          <w:lang w:val="sr-Latn-CS"/>
        </w:rPr>
        <w:footnoteRef/>
      </w:r>
      <w:r>
        <w:rPr>
          <w:lang w:val="sr-Latn-CS"/>
        </w:rPr>
        <w:t xml:space="preserve"> Izvor: World Health Organization; tabela sa podacima nalazi se u Aneksu 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476FE"/>
    <w:multiLevelType w:val="hybridMultilevel"/>
    <w:tmpl w:val="45869A14"/>
    <w:lvl w:ilvl="0" w:tplc="B0AC4A28">
      <w:numFmt w:val="bullet"/>
      <w:lvlText w:val="-"/>
      <w:lvlJc w:val="left"/>
      <w:pPr>
        <w:tabs>
          <w:tab w:val="num" w:pos="1080"/>
        </w:tabs>
        <w:ind w:left="1080" w:hanging="360"/>
      </w:pPr>
      <w:rPr>
        <w:rFonts w:ascii="Times New Roman" w:eastAsia="Times New Roman" w:hAnsi="Times New Roman" w:cs="Times New Roman" w:hint="default"/>
      </w:rPr>
    </w:lvl>
    <w:lvl w:ilvl="1" w:tplc="FA7290BE">
      <w:numFmt w:val="none"/>
      <w:lvlText w:val="5."/>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A80E08"/>
    <w:rsid w:val="00154AF8"/>
    <w:rsid w:val="00200408"/>
    <w:rsid w:val="00205306"/>
    <w:rsid w:val="0036741F"/>
    <w:rsid w:val="00387BC4"/>
    <w:rsid w:val="003C3CC0"/>
    <w:rsid w:val="00413E3C"/>
    <w:rsid w:val="00495BC3"/>
    <w:rsid w:val="004F2954"/>
    <w:rsid w:val="00516239"/>
    <w:rsid w:val="00521E00"/>
    <w:rsid w:val="0059790E"/>
    <w:rsid w:val="005A532E"/>
    <w:rsid w:val="006538B8"/>
    <w:rsid w:val="0069167E"/>
    <w:rsid w:val="00761509"/>
    <w:rsid w:val="007A118B"/>
    <w:rsid w:val="007E1D0A"/>
    <w:rsid w:val="008016E7"/>
    <w:rsid w:val="00873C3C"/>
    <w:rsid w:val="0089133E"/>
    <w:rsid w:val="008F3589"/>
    <w:rsid w:val="009E1EF0"/>
    <w:rsid w:val="009F6B74"/>
    <w:rsid w:val="00A80E08"/>
    <w:rsid w:val="00AB5DCA"/>
    <w:rsid w:val="00AF072D"/>
    <w:rsid w:val="00B273DF"/>
    <w:rsid w:val="00B420E3"/>
    <w:rsid w:val="00B81C42"/>
    <w:rsid w:val="00BB67A1"/>
    <w:rsid w:val="00BF3D3A"/>
    <w:rsid w:val="00C2182A"/>
    <w:rsid w:val="00C511BA"/>
    <w:rsid w:val="00CC5785"/>
    <w:rsid w:val="00CD7513"/>
    <w:rsid w:val="00CF6FEB"/>
    <w:rsid w:val="00E31DC2"/>
    <w:rsid w:val="00E5080F"/>
    <w:rsid w:val="00EC2A03"/>
    <w:rsid w:val="00F42101"/>
    <w:rsid w:val="00FE742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D3A"/>
  </w:style>
  <w:style w:type="paragraph" w:styleId="Heading2">
    <w:name w:val="heading 2"/>
    <w:basedOn w:val="Normal"/>
    <w:next w:val="Normal"/>
    <w:link w:val="Heading2Char"/>
    <w:qFormat/>
    <w:rsid w:val="00205306"/>
    <w:pPr>
      <w:keepNext/>
      <w:spacing w:after="0" w:line="240" w:lineRule="auto"/>
      <w:outlineLvl w:val="1"/>
    </w:pPr>
    <w:rPr>
      <w:rFonts w:ascii="Times New Roman" w:eastAsia="Times New Roman" w:hAnsi="Times New Roman" w:cs="Times New Roman"/>
      <w:b/>
      <w:bCs/>
      <w:i/>
      <w:iCs/>
      <w:sz w:val="24"/>
      <w:szCs w:val="24"/>
      <w:u w:val="single"/>
    </w:rPr>
  </w:style>
  <w:style w:type="paragraph" w:styleId="Heading6">
    <w:name w:val="heading 6"/>
    <w:basedOn w:val="Normal"/>
    <w:next w:val="Normal"/>
    <w:link w:val="Heading6Char"/>
    <w:qFormat/>
    <w:rsid w:val="00205306"/>
    <w:pPr>
      <w:keepNext/>
      <w:spacing w:after="0" w:line="360" w:lineRule="auto"/>
      <w:jc w:val="both"/>
      <w:outlineLvl w:val="5"/>
    </w:pPr>
    <w:rPr>
      <w:rFonts w:ascii="Times New Roman" w:eastAsia="Times New Roman" w:hAnsi="Times New Roman" w:cs="Times New Roman"/>
      <w:i/>
      <w:noProof/>
      <w:sz w:val="20"/>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5306"/>
    <w:rPr>
      <w:rFonts w:ascii="Times New Roman" w:eastAsia="Times New Roman" w:hAnsi="Times New Roman" w:cs="Times New Roman"/>
      <w:b/>
      <w:bCs/>
      <w:i/>
      <w:iCs/>
      <w:sz w:val="24"/>
      <w:szCs w:val="24"/>
      <w:u w:val="single"/>
    </w:rPr>
  </w:style>
  <w:style w:type="character" w:customStyle="1" w:styleId="Heading6Char">
    <w:name w:val="Heading 6 Char"/>
    <w:basedOn w:val="DefaultParagraphFont"/>
    <w:link w:val="Heading6"/>
    <w:rsid w:val="00205306"/>
    <w:rPr>
      <w:rFonts w:ascii="Times New Roman" w:eastAsia="Times New Roman" w:hAnsi="Times New Roman" w:cs="Times New Roman"/>
      <w:i/>
      <w:noProof/>
      <w:sz w:val="20"/>
      <w:szCs w:val="20"/>
      <w:lang w:val="sr-Latn-CS"/>
    </w:rPr>
  </w:style>
  <w:style w:type="paragraph" w:styleId="Footer">
    <w:name w:val="footer"/>
    <w:basedOn w:val="Normal"/>
    <w:link w:val="FooterChar"/>
    <w:semiHidden/>
    <w:rsid w:val="00205306"/>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205306"/>
    <w:rPr>
      <w:rFonts w:ascii="Times New Roman" w:eastAsia="Times New Roman" w:hAnsi="Times New Roman" w:cs="Times New Roman"/>
      <w:sz w:val="24"/>
      <w:szCs w:val="24"/>
    </w:rPr>
  </w:style>
  <w:style w:type="paragraph" w:styleId="FootnoteText">
    <w:name w:val="footnote text"/>
    <w:aliases w:val="single space,footnote text,Footnote Text Char Char,Footnote Text Char Char Char,FOOTNOTES,fn"/>
    <w:basedOn w:val="Normal"/>
    <w:link w:val="FootnoteTextChar"/>
    <w:semiHidden/>
    <w:rsid w:val="0020530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 Text Char Char Char1,Footnote Text Char Char Char Char,FOOTNOTES Char,fn Char"/>
    <w:basedOn w:val="DefaultParagraphFont"/>
    <w:link w:val="FootnoteText"/>
    <w:semiHidden/>
    <w:rsid w:val="00205306"/>
    <w:rPr>
      <w:rFonts w:ascii="Times New Roman" w:eastAsia="Times New Roman" w:hAnsi="Times New Roman" w:cs="Times New Roman"/>
      <w:sz w:val="20"/>
      <w:szCs w:val="20"/>
    </w:rPr>
  </w:style>
  <w:style w:type="character" w:styleId="FootnoteReference">
    <w:name w:val="footnote reference"/>
    <w:basedOn w:val="DefaultParagraphFont"/>
    <w:semiHidden/>
    <w:rsid w:val="00205306"/>
    <w:rPr>
      <w:vertAlign w:val="superscript"/>
    </w:rPr>
  </w:style>
  <w:style w:type="paragraph" w:styleId="BalloonText">
    <w:name w:val="Balloon Text"/>
    <w:basedOn w:val="Normal"/>
    <w:link w:val="BalloonTextChar"/>
    <w:uiPriority w:val="99"/>
    <w:semiHidden/>
    <w:unhideWhenUsed/>
    <w:rsid w:val="00205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306"/>
    <w:rPr>
      <w:rFonts w:ascii="Tahoma" w:hAnsi="Tahoma" w:cs="Tahoma"/>
      <w:sz w:val="16"/>
      <w:szCs w:val="16"/>
    </w:rPr>
  </w:style>
  <w:style w:type="paragraph" w:styleId="BodyText">
    <w:name w:val="Body Text"/>
    <w:basedOn w:val="Normal"/>
    <w:link w:val="BodyTextChar"/>
    <w:semiHidden/>
    <w:rsid w:val="00AF072D"/>
    <w:pPr>
      <w:spacing w:after="0" w:line="240" w:lineRule="auto"/>
      <w:jc w:val="both"/>
    </w:pPr>
    <w:rPr>
      <w:rFonts w:ascii="Times New Roman YU" w:eastAsia="Times New Roman" w:hAnsi="Times New Roman YU" w:cs="Times New Roman"/>
      <w:sz w:val="24"/>
      <w:szCs w:val="24"/>
    </w:rPr>
  </w:style>
  <w:style w:type="character" w:customStyle="1" w:styleId="BodyTextChar">
    <w:name w:val="Body Text Char"/>
    <w:basedOn w:val="DefaultParagraphFont"/>
    <w:link w:val="BodyText"/>
    <w:semiHidden/>
    <w:rsid w:val="00AF072D"/>
    <w:rPr>
      <w:rFonts w:ascii="Times New Roman YU" w:eastAsia="Times New Roman" w:hAnsi="Times New Roman YU"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autoTitleDeleted val="1"/>
    <c:plotArea>
      <c:layout>
        <c:manualLayout>
          <c:layoutTarget val="inner"/>
          <c:xMode val="edge"/>
          <c:yMode val="edge"/>
          <c:x val="0.14624505928853754"/>
          <c:y val="7.6363636363636606E-2"/>
          <c:w val="0.79644268774703431"/>
          <c:h val="0.68727272727272759"/>
        </c:manualLayout>
      </c:layout>
      <c:scatterChart>
        <c:scatterStyle val="lineMarker"/>
        <c:ser>
          <c:idx val="0"/>
          <c:order val="0"/>
          <c:tx>
            <c:strRef>
              <c:f>Sheet2!$C$29</c:f>
              <c:strCache>
                <c:ptCount val="1"/>
                <c:pt idx="0">
                  <c:v>Izdaci na zdravstvo p.c. in intl $ (PPP)</c:v>
                </c:pt>
              </c:strCache>
            </c:strRef>
          </c:tx>
          <c:spPr>
            <a:ln w="28478">
              <a:noFill/>
            </a:ln>
          </c:spPr>
          <c:marker>
            <c:symbol val="diamond"/>
            <c:size val="4"/>
            <c:spPr>
              <a:solidFill>
                <a:srgbClr val="000080"/>
              </a:solidFill>
              <a:ln>
                <a:solidFill>
                  <a:srgbClr val="000080"/>
                </a:solidFill>
                <a:prstDash val="solid"/>
              </a:ln>
            </c:spPr>
          </c:marker>
          <c:dPt>
            <c:idx val="12"/>
            <c:marker>
              <c:symbol val="circle"/>
              <c:size val="7"/>
              <c:spPr>
                <a:solidFill>
                  <a:srgbClr val="FF00FF"/>
                </a:solidFill>
                <a:ln>
                  <a:solidFill>
                    <a:srgbClr val="000080"/>
                  </a:solidFill>
                  <a:prstDash val="solid"/>
                </a:ln>
              </c:spPr>
            </c:marker>
          </c:dPt>
          <c:trendline>
            <c:spPr>
              <a:ln w="25314">
                <a:solidFill>
                  <a:srgbClr val="000000"/>
                </a:solidFill>
                <a:prstDash val="solid"/>
              </a:ln>
            </c:spPr>
            <c:trendlineType val="linear"/>
          </c:trendline>
          <c:xVal>
            <c:numRef>
              <c:f>Sheet2!$B$30:$B$42</c:f>
              <c:numCache>
                <c:formatCode>General</c:formatCode>
                <c:ptCount val="13"/>
                <c:pt idx="0">
                  <c:v>4092</c:v>
                </c:pt>
                <c:pt idx="1">
                  <c:v>3560</c:v>
                </c:pt>
                <c:pt idx="2">
                  <c:v>6299</c:v>
                </c:pt>
                <c:pt idx="3">
                  <c:v>8102</c:v>
                </c:pt>
                <c:pt idx="4">
                  <c:v>15340</c:v>
                </c:pt>
                <c:pt idx="5">
                  <c:v>13473</c:v>
                </c:pt>
                <c:pt idx="6">
                  <c:v>4880</c:v>
                </c:pt>
                <c:pt idx="7">
                  <c:v>10315</c:v>
                </c:pt>
                <c:pt idx="8">
                  <c:v>7043</c:v>
                </c:pt>
                <c:pt idx="9">
                  <c:v>1958</c:v>
                </c:pt>
                <c:pt idx="10">
                  <c:v>11994</c:v>
                </c:pt>
                <c:pt idx="11">
                  <c:v>18490</c:v>
                </c:pt>
                <c:pt idx="12">
                  <c:v>7536</c:v>
                </c:pt>
              </c:numCache>
            </c:numRef>
          </c:xVal>
          <c:yVal>
            <c:numRef>
              <c:f>Sheet2!$C$30:$C$42</c:f>
              <c:numCache>
                <c:formatCode>General</c:formatCode>
                <c:ptCount val="13"/>
                <c:pt idx="0">
                  <c:v>150</c:v>
                </c:pt>
                <c:pt idx="1">
                  <c:v>268</c:v>
                </c:pt>
                <c:pt idx="2">
                  <c:v>303</c:v>
                </c:pt>
                <c:pt idx="3">
                  <c:v>726</c:v>
                </c:pt>
                <c:pt idx="4">
                  <c:v>1129</c:v>
                </c:pt>
                <c:pt idx="5">
                  <c:v>914</c:v>
                </c:pt>
                <c:pt idx="6">
                  <c:v>331</c:v>
                </c:pt>
                <c:pt idx="7">
                  <c:v>629</c:v>
                </c:pt>
                <c:pt idx="8">
                  <c:v>460</c:v>
                </c:pt>
                <c:pt idx="9">
                  <c:v>112</c:v>
                </c:pt>
                <c:pt idx="10">
                  <c:v>681</c:v>
                </c:pt>
                <c:pt idx="11">
                  <c:v>1545</c:v>
                </c:pt>
                <c:pt idx="12">
                  <c:v>616</c:v>
                </c:pt>
              </c:numCache>
            </c:numRef>
          </c:yVal>
        </c:ser>
        <c:axId val="79204736"/>
        <c:axId val="79377536"/>
      </c:scatterChart>
      <c:valAx>
        <c:axId val="79204736"/>
        <c:scaling>
          <c:orientation val="minMax"/>
        </c:scaling>
        <c:axPos val="b"/>
        <c:title>
          <c:tx>
            <c:rich>
              <a:bodyPr/>
              <a:lstStyle/>
              <a:p>
                <a:pPr>
                  <a:defRPr sz="947" b="1" i="0" u="none" strike="noStrike" baseline="0">
                    <a:solidFill>
                      <a:srgbClr val="000000"/>
                    </a:solidFill>
                    <a:latin typeface="Arial"/>
                    <a:ea typeface="Arial"/>
                    <a:cs typeface="Arial"/>
                  </a:defRPr>
                </a:pPr>
                <a:r>
                  <a:rPr lang="en-US"/>
                  <a:t>GDP per capita, intern. $</a:t>
                </a:r>
              </a:p>
            </c:rich>
          </c:tx>
          <c:layout>
            <c:manualLayout>
              <c:xMode val="edge"/>
              <c:yMode val="edge"/>
              <c:x val="0.38537549407114696"/>
              <c:y val="0.87636363636363757"/>
            </c:manualLayout>
          </c:layout>
          <c:spPr>
            <a:noFill/>
            <a:ln w="25314">
              <a:noFill/>
            </a:ln>
          </c:spPr>
        </c:title>
        <c:numFmt formatCode="General" sourceLinked="1"/>
        <c:tickLblPos val="nextTo"/>
        <c:spPr>
          <a:ln w="3164">
            <a:solidFill>
              <a:srgbClr val="000000"/>
            </a:solidFill>
            <a:prstDash val="solid"/>
          </a:ln>
        </c:spPr>
        <c:txPr>
          <a:bodyPr rot="0" vert="horz"/>
          <a:lstStyle/>
          <a:p>
            <a:pPr>
              <a:defRPr sz="947" b="0" i="0" u="none" strike="noStrike" baseline="0">
                <a:solidFill>
                  <a:srgbClr val="000000"/>
                </a:solidFill>
                <a:latin typeface="Arial"/>
                <a:ea typeface="Arial"/>
                <a:cs typeface="Arial"/>
              </a:defRPr>
            </a:pPr>
            <a:endParaRPr lang="sr-Latn-CS"/>
          </a:p>
        </c:txPr>
        <c:crossAx val="79377536"/>
        <c:crosses val="autoZero"/>
        <c:crossBetween val="midCat"/>
      </c:valAx>
      <c:valAx>
        <c:axId val="79377536"/>
        <c:scaling>
          <c:orientation val="minMax"/>
        </c:scaling>
        <c:axPos val="l"/>
        <c:majorGridlines>
          <c:spPr>
            <a:ln w="3164">
              <a:solidFill>
                <a:srgbClr val="000000"/>
              </a:solidFill>
              <a:prstDash val="solid"/>
            </a:ln>
          </c:spPr>
        </c:majorGridlines>
        <c:title>
          <c:tx>
            <c:rich>
              <a:bodyPr/>
              <a:lstStyle/>
              <a:p>
                <a:pPr>
                  <a:defRPr sz="947" b="1" i="0" u="none" strike="noStrike" baseline="0">
                    <a:solidFill>
                      <a:srgbClr val="000000"/>
                    </a:solidFill>
                    <a:latin typeface="Arial"/>
                    <a:ea typeface="Arial"/>
                    <a:cs typeface="Arial"/>
                  </a:defRPr>
                </a:pPr>
                <a:r>
                  <a:rPr lang="en-US"/>
                  <a:t>Izdaci na zdravstvo p.c., intern. $</a:t>
                </a:r>
              </a:p>
            </c:rich>
          </c:tx>
          <c:layout>
            <c:manualLayout>
              <c:xMode val="edge"/>
              <c:yMode val="edge"/>
              <c:x val="2.1739130434782612E-2"/>
              <c:y val="2.5454545454545483E-2"/>
            </c:manualLayout>
          </c:layout>
          <c:spPr>
            <a:noFill/>
            <a:ln w="25314">
              <a:noFill/>
            </a:ln>
          </c:spPr>
        </c:title>
        <c:numFmt formatCode="General" sourceLinked="1"/>
        <c:tickLblPos val="nextTo"/>
        <c:spPr>
          <a:ln w="3164">
            <a:solidFill>
              <a:srgbClr val="000000"/>
            </a:solidFill>
            <a:prstDash val="solid"/>
          </a:ln>
        </c:spPr>
        <c:txPr>
          <a:bodyPr rot="0" vert="horz"/>
          <a:lstStyle/>
          <a:p>
            <a:pPr>
              <a:defRPr sz="947" b="0" i="0" u="none" strike="noStrike" baseline="0">
                <a:solidFill>
                  <a:srgbClr val="000000"/>
                </a:solidFill>
                <a:latin typeface="Arial"/>
                <a:ea typeface="Arial"/>
                <a:cs typeface="Arial"/>
              </a:defRPr>
            </a:pPr>
            <a:endParaRPr lang="sr-Latn-CS"/>
          </a:p>
        </c:txPr>
        <c:crossAx val="79204736"/>
        <c:crosses val="autoZero"/>
        <c:crossBetween val="midCat"/>
      </c:valAx>
      <c:spPr>
        <a:solidFill>
          <a:srgbClr val="C0C0C0"/>
        </a:solidFill>
        <a:ln w="12657">
          <a:solidFill>
            <a:srgbClr val="808080"/>
          </a:solidFill>
          <a:prstDash val="solid"/>
        </a:ln>
      </c:spPr>
    </c:plotArea>
    <c:plotVisOnly val="1"/>
    <c:dispBlanksAs val="gap"/>
  </c:chart>
  <c:spPr>
    <a:noFill/>
    <a:ln>
      <a:noFill/>
    </a:ln>
  </c:spPr>
  <c:txPr>
    <a:bodyPr/>
    <a:lstStyle/>
    <a:p>
      <a:pPr>
        <a:defRPr sz="947" b="0" i="0" u="none" strike="noStrike" baseline="0">
          <a:solidFill>
            <a:srgbClr val="000000"/>
          </a:solidFill>
          <a:latin typeface="Arial"/>
          <a:ea typeface="Arial"/>
          <a:cs typeface="Arial"/>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autoTitleDeleted val="1"/>
    <c:plotArea>
      <c:layout>
        <c:manualLayout>
          <c:layoutTarget val="inner"/>
          <c:xMode val="edge"/>
          <c:yMode val="edge"/>
          <c:x val="0.11857707509881421"/>
          <c:y val="7.6363636363636578E-2"/>
          <c:w val="0.8300395256916997"/>
          <c:h val="0.68727272727272726"/>
        </c:manualLayout>
      </c:layout>
      <c:scatterChart>
        <c:scatterStyle val="lineMarker"/>
        <c:ser>
          <c:idx val="0"/>
          <c:order val="0"/>
          <c:tx>
            <c:strRef>
              <c:f>Sheet2!$C$1</c:f>
              <c:strCache>
                <c:ptCount val="1"/>
                <c:pt idx="0">
                  <c:v>Ocekivano trajanje zivota</c:v>
                </c:pt>
              </c:strCache>
            </c:strRef>
          </c:tx>
          <c:spPr>
            <a:ln w="28478">
              <a:noFill/>
            </a:ln>
          </c:spPr>
          <c:marker>
            <c:symbol val="diamond"/>
            <c:size val="4"/>
            <c:spPr>
              <a:solidFill>
                <a:srgbClr val="000080"/>
              </a:solidFill>
              <a:ln>
                <a:solidFill>
                  <a:srgbClr val="000080"/>
                </a:solidFill>
                <a:prstDash val="solid"/>
              </a:ln>
            </c:spPr>
          </c:marker>
          <c:dPt>
            <c:idx val="12"/>
            <c:marker>
              <c:symbol val="circle"/>
              <c:size val="8"/>
              <c:spPr>
                <a:solidFill>
                  <a:srgbClr val="FF00FF"/>
                </a:solidFill>
                <a:ln>
                  <a:solidFill>
                    <a:srgbClr val="FF00FF"/>
                  </a:solidFill>
                  <a:prstDash val="solid"/>
                </a:ln>
              </c:spPr>
            </c:marker>
          </c:dPt>
          <c:trendline>
            <c:spPr>
              <a:ln w="25314">
                <a:solidFill>
                  <a:srgbClr val="000000"/>
                </a:solidFill>
                <a:prstDash val="solid"/>
              </a:ln>
            </c:spPr>
            <c:trendlineType val="linear"/>
          </c:trendline>
          <c:xVal>
            <c:numRef>
              <c:f>Sheet2!$B$2:$B$14</c:f>
              <c:numCache>
                <c:formatCode>General</c:formatCode>
                <c:ptCount val="13"/>
                <c:pt idx="0">
                  <c:v>150</c:v>
                </c:pt>
                <c:pt idx="1">
                  <c:v>268</c:v>
                </c:pt>
                <c:pt idx="2">
                  <c:v>303</c:v>
                </c:pt>
                <c:pt idx="3">
                  <c:v>726</c:v>
                </c:pt>
                <c:pt idx="4">
                  <c:v>1129</c:v>
                </c:pt>
                <c:pt idx="5">
                  <c:v>914</c:v>
                </c:pt>
                <c:pt idx="6">
                  <c:v>331</c:v>
                </c:pt>
                <c:pt idx="7">
                  <c:v>629</c:v>
                </c:pt>
                <c:pt idx="8">
                  <c:v>460</c:v>
                </c:pt>
                <c:pt idx="9">
                  <c:v>112</c:v>
                </c:pt>
                <c:pt idx="10">
                  <c:v>681</c:v>
                </c:pt>
                <c:pt idx="11">
                  <c:v>1545</c:v>
                </c:pt>
                <c:pt idx="12">
                  <c:v>616</c:v>
                </c:pt>
              </c:numCache>
            </c:numRef>
          </c:xVal>
          <c:yVal>
            <c:numRef>
              <c:f>Sheet2!$C$2:$C$14</c:f>
              <c:numCache>
                <c:formatCode>General</c:formatCode>
                <c:ptCount val="13"/>
                <c:pt idx="0">
                  <c:v>70.400000000000006</c:v>
                </c:pt>
                <c:pt idx="1">
                  <c:v>72.8</c:v>
                </c:pt>
                <c:pt idx="2">
                  <c:v>71.900000000000006</c:v>
                </c:pt>
                <c:pt idx="3">
                  <c:v>74.8</c:v>
                </c:pt>
                <c:pt idx="4">
                  <c:v>75.8</c:v>
                </c:pt>
                <c:pt idx="5">
                  <c:v>72.599999999999994</c:v>
                </c:pt>
                <c:pt idx="6">
                  <c:v>72</c:v>
                </c:pt>
                <c:pt idx="7">
                  <c:v>74.7</c:v>
                </c:pt>
                <c:pt idx="8">
                  <c:v>71.400000000000006</c:v>
                </c:pt>
                <c:pt idx="9">
                  <c:v>67.8</c:v>
                </c:pt>
                <c:pt idx="10">
                  <c:v>74</c:v>
                </c:pt>
                <c:pt idx="11">
                  <c:v>76.7</c:v>
                </c:pt>
                <c:pt idx="12">
                  <c:v>75.2</c:v>
                </c:pt>
              </c:numCache>
            </c:numRef>
          </c:yVal>
        </c:ser>
        <c:axId val="78004608"/>
        <c:axId val="78006528"/>
      </c:scatterChart>
      <c:valAx>
        <c:axId val="78004608"/>
        <c:scaling>
          <c:orientation val="minMax"/>
        </c:scaling>
        <c:axPos val="b"/>
        <c:title>
          <c:tx>
            <c:rich>
              <a:bodyPr/>
              <a:lstStyle/>
              <a:p>
                <a:pPr>
                  <a:defRPr sz="947" b="1" i="0" u="none" strike="noStrike" baseline="0">
                    <a:solidFill>
                      <a:srgbClr val="000000"/>
                    </a:solidFill>
                    <a:latin typeface="Arial"/>
                    <a:ea typeface="Arial"/>
                    <a:cs typeface="Arial"/>
                  </a:defRPr>
                </a:pPr>
                <a:r>
                  <a:rPr lang="vi-VN"/>
                  <a:t>Izdaci na zdravstvo p.c., Međ. $ (PPP)</a:t>
                </a:r>
              </a:p>
            </c:rich>
          </c:tx>
          <c:layout>
            <c:manualLayout>
              <c:xMode val="edge"/>
              <c:yMode val="edge"/>
              <c:x val="0.29446640316205658"/>
              <c:y val="0.87636363636363757"/>
            </c:manualLayout>
          </c:layout>
          <c:spPr>
            <a:noFill/>
            <a:ln w="25314">
              <a:noFill/>
            </a:ln>
          </c:spPr>
        </c:title>
        <c:numFmt formatCode="General" sourceLinked="1"/>
        <c:tickLblPos val="nextTo"/>
        <c:spPr>
          <a:ln w="3164">
            <a:solidFill>
              <a:srgbClr val="000000"/>
            </a:solidFill>
            <a:prstDash val="solid"/>
          </a:ln>
        </c:spPr>
        <c:txPr>
          <a:bodyPr rot="0" vert="horz"/>
          <a:lstStyle/>
          <a:p>
            <a:pPr>
              <a:defRPr sz="947" b="0" i="0" u="none" strike="noStrike" baseline="0">
                <a:solidFill>
                  <a:srgbClr val="000000"/>
                </a:solidFill>
                <a:latin typeface="Arial"/>
                <a:ea typeface="Arial"/>
                <a:cs typeface="Arial"/>
              </a:defRPr>
            </a:pPr>
            <a:endParaRPr lang="sr-Latn-CS"/>
          </a:p>
        </c:txPr>
        <c:crossAx val="78006528"/>
        <c:crosses val="autoZero"/>
        <c:crossBetween val="midCat"/>
      </c:valAx>
      <c:valAx>
        <c:axId val="78006528"/>
        <c:scaling>
          <c:orientation val="minMax"/>
        </c:scaling>
        <c:axPos val="l"/>
        <c:majorGridlines>
          <c:spPr>
            <a:ln w="3164">
              <a:solidFill>
                <a:srgbClr val="000000"/>
              </a:solidFill>
              <a:prstDash val="solid"/>
            </a:ln>
          </c:spPr>
        </c:majorGridlines>
        <c:title>
          <c:tx>
            <c:rich>
              <a:bodyPr/>
              <a:lstStyle/>
              <a:p>
                <a:pPr>
                  <a:defRPr sz="947" b="1" i="0" u="none" strike="noStrike" baseline="0">
                    <a:solidFill>
                      <a:srgbClr val="000000"/>
                    </a:solidFill>
                    <a:latin typeface="Arial"/>
                    <a:ea typeface="Arial"/>
                    <a:cs typeface="Arial"/>
                  </a:defRPr>
                </a:pPr>
                <a:r>
                  <a:rPr lang="en-US"/>
                  <a:t>Očekivano trajanje života</a:t>
                </a:r>
              </a:p>
            </c:rich>
          </c:tx>
          <c:layout>
            <c:manualLayout>
              <c:xMode val="edge"/>
              <c:yMode val="edge"/>
              <c:x val="2.1739130434782612E-2"/>
              <c:y val="0.11272727272727297"/>
            </c:manualLayout>
          </c:layout>
          <c:spPr>
            <a:noFill/>
            <a:ln w="25314">
              <a:noFill/>
            </a:ln>
          </c:spPr>
        </c:title>
        <c:numFmt formatCode="General" sourceLinked="1"/>
        <c:tickLblPos val="nextTo"/>
        <c:spPr>
          <a:ln w="3164">
            <a:solidFill>
              <a:srgbClr val="000000"/>
            </a:solidFill>
            <a:prstDash val="solid"/>
          </a:ln>
        </c:spPr>
        <c:txPr>
          <a:bodyPr rot="0" vert="horz"/>
          <a:lstStyle/>
          <a:p>
            <a:pPr>
              <a:defRPr sz="947" b="0" i="0" u="none" strike="noStrike" baseline="0">
                <a:solidFill>
                  <a:srgbClr val="000000"/>
                </a:solidFill>
                <a:latin typeface="Arial"/>
                <a:ea typeface="Arial"/>
                <a:cs typeface="Arial"/>
              </a:defRPr>
            </a:pPr>
            <a:endParaRPr lang="sr-Latn-CS"/>
          </a:p>
        </c:txPr>
        <c:crossAx val="78004608"/>
        <c:crosses val="autoZero"/>
        <c:crossBetween val="midCat"/>
      </c:valAx>
      <c:spPr>
        <a:solidFill>
          <a:srgbClr val="C0C0C0"/>
        </a:solidFill>
        <a:ln w="12657">
          <a:solidFill>
            <a:srgbClr val="808080"/>
          </a:solidFill>
          <a:prstDash val="solid"/>
        </a:ln>
      </c:spPr>
    </c:plotArea>
    <c:plotVisOnly val="1"/>
    <c:dispBlanksAs val="gap"/>
  </c:chart>
  <c:spPr>
    <a:noFill/>
    <a:ln>
      <a:noFill/>
    </a:ln>
  </c:spPr>
  <c:txPr>
    <a:bodyPr/>
    <a:lstStyle/>
    <a:p>
      <a:pPr>
        <a:defRPr sz="947" b="0" i="0" u="none" strike="noStrike" baseline="0">
          <a:solidFill>
            <a:srgbClr val="000000"/>
          </a:solidFill>
          <a:latin typeface="Arial"/>
          <a:ea typeface="Arial"/>
          <a:cs typeface="Arial"/>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2551</Words>
  <Characters>14546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dc:creator>
  <cp:keywords/>
  <dc:description/>
  <cp:lastModifiedBy>mdrakic</cp:lastModifiedBy>
  <cp:revision>16</cp:revision>
  <cp:lastPrinted>2009-09-03T08:28:00Z</cp:lastPrinted>
  <dcterms:created xsi:type="dcterms:W3CDTF">2009-07-14T20:22:00Z</dcterms:created>
  <dcterms:modified xsi:type="dcterms:W3CDTF">2009-09-03T08:28:00Z</dcterms:modified>
</cp:coreProperties>
</file>